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333-278762​</w:t>
      </w:r>
    </w:p>
    <w:p>
      <w:pPr>
        <w:spacing w:after="0" w:line="17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 Prospectus dated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125730</wp:posOffset>
            </wp:positionV>
            <wp:extent cx="219456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123" w:lineRule="exact"/>
        <w:rPr>
          <w:sz w:val="24"/>
          <w:szCs w:val="24"/>
          <w:color w:val="auto"/>
        </w:rPr>
      </w:pPr>
    </w:p>
    <w:p>
      <w:pPr>
        <w:jc w:val="center"/>
        <w:ind w:left="980" w:right="1480"/>
        <w:spacing w:after="0" w:line="261" w:lineRule="auto"/>
        <w:rPr>
          <w:sz w:val="20"/>
          <w:szCs w:val="20"/>
          <w:color w:val="auto"/>
        </w:rPr>
      </w:pPr>
      <w:r>
        <w:rPr>
          <w:rFonts w:ascii="Times New Roman" w:cs="Times New Roman" w:eastAsia="Times New Roman" w:hAnsi="Times New Roman"/>
          <w:sz w:val="25"/>
          <w:szCs w:val="25"/>
          <w:b w:val="1"/>
          <w:bCs w:val="1"/>
          <w:color w:val="auto"/>
        </w:rPr>
        <w:t>30,000 Series A-1 Convertible Preferred Shares and Class A Ordinary Shares issuable upon conversion of the Series A-1 Convertible Preferred Shares</w:t>
      </w:r>
    </w:p>
    <w:p>
      <w:pPr>
        <w:spacing w:after="0" w:line="85" w:lineRule="exact"/>
        <w:rPr>
          <w:sz w:val="24"/>
          <w:szCs w:val="24"/>
          <w:color w:val="auto"/>
        </w:rPr>
      </w:pPr>
    </w:p>
    <w:p>
      <w:pPr>
        <w:ind w:left="500" w:right="60" w:firstLine="360"/>
        <w:spacing w:after="0" w:line="252" w:lineRule="auto"/>
        <w:rPr>
          <w:sz w:val="20"/>
          <w:szCs w:val="20"/>
          <w:color w:val="auto"/>
        </w:rPr>
      </w:pPr>
      <w:r>
        <w:rPr>
          <w:rFonts w:ascii="Times New Roman" w:cs="Times New Roman" w:eastAsia="Times New Roman" w:hAnsi="Times New Roman"/>
          <w:sz w:val="18"/>
          <w:szCs w:val="18"/>
          <w:color w:val="auto"/>
        </w:rPr>
        <w:t>We are selling 30,000 Series A-1 Convertible Preferred Shares, par value US$0.00000005 per share, or the Series A-1 Preferred Shares to an investor (the “Buyer”). At any time or times on or after the applicable issuance date, any holder of Series A-1 Preferred Shares shall be entitled to convert any portion of the outstanding and unpaid conversion amount into fully paid and non-assessable Class A ordinary shares at the conversion rate that shall be deposited for delivery of ADSs, subject to the terms and conditions of the deposit agreement. Conversion amount (the “Conversion Amount”) means the sum of (i) the portion of the stated value, meaning US$1,072.80 per Series A-1 Preferred Share, to be converted, redeemed or otherwise with respect to which this determination is being made, (ii) the accrued and unpaid dividends with respect to such stated value, if any, and (iii) accrued and unpaid late charges with respect to such stated value and dividends, if any. Conversion price (the “Conversion Price”) means, as of any conversion date or other date of determination, the lower of (i) $4.00, and (ii) 92.50% of the lowest daily Weighted Average Price of the ADSs during the five consecutive trading day period immediately preceding the applicable conversion date, subject to adjustment as provided in the Certificate of Designations, Preferences and Rights. As used herein, “ADS ratio” means the number of Class A Ordinary Shares represented by one (1) ADS, which, as of the date hereof, equals fifteen (15). No holder of Series A-1 Preferred Shares shall have the right to any Class A ordinary shares (or ADSs on subsequent deposit thereof) otherwise issuable and such issuance shall be null and void and treated as if never made, to the extent that after giving effect to such issuance, such holder together with its other attribution parties collectively would beneficially own in excess of 4.99% or 9.99%, as such holder shall have indicated in the Securities Purchase Agreement or as any subsequent transferee of Series A-1 Preferred Shares indicates in a written notice to the Company, (the “Maximum Percentage”) of the Class A ordinary shares issued and outstanding immediately after giving effect to such issuance, such Maximum Percentage to be set by each Buyer as to such Buyer and its other attribution parties. The number of Class A ordinary shares, issuable upon conversion of Series A-1 Preferred Shares, is indeterminate.</w:t>
      </w:r>
    </w:p>
    <w:p>
      <w:pPr>
        <w:spacing w:after="0" w:line="326" w:lineRule="exact"/>
        <w:rPr>
          <w:sz w:val="24"/>
          <w:szCs w:val="24"/>
          <w:color w:val="auto"/>
        </w:rPr>
      </w:pPr>
    </w:p>
    <w:p>
      <w:pPr>
        <w:ind w:left="500" w:right="280" w:firstLine="360"/>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Global Market under the symbol “CAN.” On November 20, 2024, the last reported sale price of the ADSs on The Nasdaq Global Market was US$1.67 per ADS.</w:t>
      </w:r>
    </w:p>
    <w:p>
      <w:pPr>
        <w:spacing w:after="0" w:line="94" w:lineRule="exact"/>
        <w:rPr>
          <w:sz w:val="24"/>
          <w:szCs w:val="24"/>
          <w:color w:val="auto"/>
        </w:rPr>
      </w:pPr>
    </w:p>
    <w:p>
      <w:pPr>
        <w:jc w:val="both"/>
        <w:ind w:left="500" w:right="360" w:firstLine="36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Series A-1 Preferred Shares and we do not expect a market to develop. In addition, we do not intend to list the Series A-1 Preferred Shares on The Nasdaq Global Market, any other national securities exchange or any other nationally recognized trading system.</w:t>
      </w:r>
    </w:p>
    <w:p>
      <w:pPr>
        <w:spacing w:after="0" w:line="104" w:lineRule="exact"/>
        <w:rPr>
          <w:sz w:val="24"/>
          <w:szCs w:val="24"/>
          <w:color w:val="auto"/>
        </w:rPr>
      </w:pPr>
    </w:p>
    <w:p>
      <w:pPr>
        <w:ind w:left="500" w:right="14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buying any securities, you should review carefully the risks and uncertainties described under the heading “Risk Factors” beginning on page </w:t>
      </w:r>
      <w:r>
        <w:rPr>
          <w:rFonts w:ascii="Times New Roman" w:cs="Times New Roman" w:eastAsia="Times New Roman" w:hAnsi="Times New Roman"/>
          <w:sz w:val="18"/>
          <w:szCs w:val="18"/>
          <w:b w:val="1"/>
          <w:bCs w:val="1"/>
          <w:u w:val="single" w:color="auto"/>
          <w:color w:val="0000EE"/>
        </w:rPr>
        <w:t>S-10</w:t>
      </w:r>
      <w:r>
        <w:rPr>
          <w:rFonts w:ascii="Times New Roman" w:cs="Times New Roman" w:eastAsia="Times New Roman" w:hAnsi="Times New Roman"/>
          <w:sz w:val="18"/>
          <w:szCs w:val="18"/>
          <w:b w:val="1"/>
          <w:bCs w:val="1"/>
          <w:color w:val="auto"/>
        </w:rPr>
        <w:t xml:space="preserve"> of this prospectus supplement,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the accompanying prospectus and in the documents incorporated by reference into this prospectus supplement and the accompanying prospectus.</w:t>
      </w:r>
    </w:p>
    <w:p>
      <w:pPr>
        <w:spacing w:after="0" w:line="95" w:lineRule="exact"/>
        <w:rPr>
          <w:sz w:val="24"/>
          <w:szCs w:val="24"/>
          <w:color w:val="auto"/>
        </w:rPr>
      </w:pPr>
    </w:p>
    <w:p>
      <w:pPr>
        <w:ind w:left="500" w:right="4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0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The total proceeds to us, before expenses, will be US$30,000,000.</w:t>
      </w:r>
    </w:p>
    <w:p>
      <w:pPr>
        <w:spacing w:after="0" w:line="158" w:lineRule="exact"/>
        <w:rPr>
          <w:sz w:val="24"/>
          <w:szCs w:val="24"/>
          <w:color w:val="auto"/>
        </w:rPr>
      </w:pPr>
    </w:p>
    <w:p>
      <w:pPr>
        <w:jc w:val="both"/>
        <w:ind w:left="500" w:right="400" w:firstLine="360"/>
        <w:spacing w:after="0" w:line="261" w:lineRule="auto"/>
        <w:rPr>
          <w:sz w:val="20"/>
          <w:szCs w:val="20"/>
          <w:color w:val="auto"/>
        </w:rPr>
      </w:pPr>
      <w:r>
        <w:rPr>
          <w:rFonts w:ascii="Times New Roman" w:cs="Times New Roman" w:eastAsia="Times New Roman" w:hAnsi="Times New Roman"/>
          <w:sz w:val="18"/>
          <w:szCs w:val="18"/>
          <w:color w:val="auto"/>
        </w:rPr>
        <w:t>We entered into a Securities Purchase Agreement dated November 19, 2024, with the Buyer, relating to the purchase of 30,000 Series A-1 Preferred Shares at US$1,000.00 for each Series A-1 Preferred Share. The Closing Date (as defined in the Securities Purchase Agreement) will occur on November 25, 2024, in which we expect to raise total gross proceeds of $30 million.</w:t>
      </w:r>
    </w:p>
    <w:p>
      <w:pPr>
        <w:spacing w:after="0" w:line="9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Prospectus Supplement dated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8"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STATEMENT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SERIES A-1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CORPORATE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PREFERRED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ectPr>
          <w:pgSz w:w="11900" w:h="16838" w:orient="portrait"/>
          <w:cols w:equalWidth="0" w:num="2">
            <w:col w:w="8160" w:space="720"/>
            <w:col w:w="9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that we filed with the Securities and Exchange Commission, or the SEC, that consists of two parts. The first part is this prospectus supplement, which describes the specific terms of this offering. The second part, the accompanying prospectus, gives more general information, some of which may not apply to this offering.</w:t>
      </w:r>
    </w:p>
    <w:p>
      <w:pPr>
        <w:spacing w:after="0" w:line="3"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1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This prospectus supplement, the accompanying prospectus and the documents incorporated into each by reference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this prospectus supplement, the accompanying prospectus, the documents incorporated or deemed to be incorporated by reference herein or therein and any free writing prospectus prepared by us or on our behalf. We have not authorized anyone to provide you with information that is in addition to or different from that contained or incorporated by reference in this prospectus supplement and the accompanying prospectus. If anyone provides you with different or inconsistent information, you should not rely on it. We are not offering to sell these securities in any jurisdiction where the offer or sale is not permitted. You should not assume that the information contained in this prospectus supplement, the accompanying prospectus or any free writing prospectus, or incorporated by reference herein, is accurate as of any date other than as of the date of this prospectus supplement or the accompanying prospectus or any free writing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2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otherwise indicated or unless the context otherwise requires, references to:</w:t>
      </w:r>
    </w:p>
    <w:p>
      <w:pPr>
        <w:spacing w:after="0" w:line="54" w:lineRule="exact"/>
        <w:rPr>
          <w:sz w:val="20"/>
          <w:szCs w:val="20"/>
          <w:color w:val="auto"/>
        </w:rPr>
      </w:pPr>
    </w:p>
    <w:p>
      <w:pPr>
        <w:ind w:left="1800" w:right="5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15 of our Class A ordinary shares;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 excluding, for the purposes of this prospectus supplement only, Taiwan, the Hong Kong Special Administrative Region and the Macao Special Administrative Region;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the China Securities Regulatory Commission;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subsidiaries” are to, for the purpose of this prospectus supplement, Canaan Creative Co., Ltd., Langfang Creative Technology Co., Ltd., Canaan Convey Co., Ltd., Zhejiang Avalon Technology Co., Ltd., Canaan Bright Sight Co., Ltd., Canaan Creative (SH) Co., Ltd, Canaan Creative International PTE. Ltd., Canaan Creative Global Pte. Ltd., and Canaan U.S. Inc.</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are to the legal currency of the United States; and</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“Canaan” are to Canaan Inc. and its subsidiaries, as the context requires.</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This glossary contains explanations of certain terms used in this prospectus supplement in connection with our company and our business. In this prospectus supplement, unless otherwise indicated:</w:t>
      </w:r>
    </w:p>
    <w:p>
      <w:pPr>
        <w:spacing w:after="0" w:line="54"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are to artificial intelligence;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“ASICs” are to application-specific ICs, meaning ICs designed for a specific application;</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computing” are to a method of optimizing cloud computing systems by performing data processing at the edge of the network, near the source of the data;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are to integrated circuits;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“neural-network accelerator” are to a class of microprocessor designed as hardware acceleration for AI applications;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“Risc-V” are to an open source instruction set architecture, which is a set of instructions that describes the way in which software talks to an underlying processor, and Risc-V’s open source nature means that anyone can build a processor to support it without paying high royalty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4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selected information contained elsewhere or incorporated by reference in this prospectus supplement and the accompanying prospectus. The summary may not contain all the information that you should consider before investing in the ADSs and Series A-1 Preferred Shares. You should read the entire prospectus supplement and the accompanying prospectus carefully, including “Risk Factors” beginning on page S-10 of this prospectus supplement, on page 4 of the accompanying prospectus contained </w:t>
      </w:r>
      <w:hyperlink r:id="rId32">
        <w:r>
          <w:rPr>
            <w:rFonts w:ascii="Times New Roman" w:cs="Times New Roman" w:eastAsia="Times New Roman" w:hAnsi="Times New Roman"/>
            <w:sz w:val="18"/>
            <w:szCs w:val="18"/>
            <w:i w:val="1"/>
            <w:iCs w:val="1"/>
            <w:color w:val="auto"/>
          </w:rPr>
          <w:t xml:space="preserve">in this prospectus supplement, the accompanying prospectus, our </w:t>
        </w:r>
        <w:r>
          <w:rPr>
            <w:rFonts w:ascii="Times New Roman" w:cs="Times New Roman" w:eastAsia="Times New Roman" w:hAnsi="Times New Roman"/>
            <w:sz w:val="18"/>
            <w:szCs w:val="18"/>
            <w:i w:val="1"/>
            <w:iCs w:val="1"/>
            <w:u w:val="single" w:color="auto"/>
            <w:color w:val="0000EE"/>
          </w:rPr>
          <w:t>Annual Report on Form 20-F for the fiscal</w:t>
        </w:r>
      </w:hyperlink>
      <w:r>
        <w:rPr>
          <w:rFonts w:ascii="Times New Roman" w:cs="Times New Roman" w:eastAsia="Times New Roman" w:hAnsi="Times New Roman"/>
          <w:sz w:val="18"/>
          <w:szCs w:val="18"/>
          <w:i w:val="1"/>
          <w:iCs w:val="1"/>
          <w:color w:val="auto"/>
        </w:rPr>
        <w:t xml:space="preserve"> </w:t>
      </w:r>
      <w:hyperlink r:id="rId32">
        <w:r>
          <w:rPr>
            <w:rFonts w:ascii="Times New Roman" w:cs="Times New Roman" w:eastAsia="Times New Roman" w:hAnsi="Times New Roman"/>
            <w:sz w:val="18"/>
            <w:szCs w:val="18"/>
            <w:i w:val="1"/>
            <w:iCs w:val="1"/>
            <w:u w:val="single" w:color="auto"/>
            <w:color w:val="0000EE"/>
          </w:rPr>
          <w:t>year ended December 31, 2023</w:t>
        </w:r>
        <w:r>
          <w:rPr>
            <w:rFonts w:ascii="Times New Roman" w:cs="Times New Roman" w:eastAsia="Times New Roman" w:hAnsi="Times New Roman"/>
            <w:sz w:val="18"/>
            <w:szCs w:val="18"/>
            <w:i w:val="1"/>
            <w:iCs w:val="1"/>
            <w:color w:val="000000"/>
          </w:rPr>
          <w:t>, and any amendment or update thereto reflected in subsequent filings with</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the SEC and incorporated by reference in this prospectus supplement and the accompanying prospectus,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provide high performance computing solutions through our proprietary ASICs. We have strong ASIC chip design capability underpinned by over ten years of industry experience and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Bitcoin mining machines and are a leading producer of Bitcoin mining machines in the global market. In addition, with our technology expertise and know-how in ASIC chip design, we strive to expand into AI fields and provide holistic AI solutions to our customers. Our operating subsidiaries have delivered commercial edge computing AI chips based on Risc-V architecture and self-developed neural-network accelerator with outstanding performance. We believe our extensive experience and expertise in ASIC applications position us well in our future endeavors.</w:t>
      </w:r>
    </w:p>
    <w:p>
      <w:pPr>
        <w:spacing w:after="0" w:line="121" w:lineRule="exact"/>
        <w:rPr>
          <w:sz w:val="20"/>
          <w:szCs w:val="20"/>
          <w:color w:val="auto"/>
        </w:rPr>
      </w:pPr>
    </w:p>
    <w:p>
      <w:pPr>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Leveraging our deep understanding of the cryptocurrency industry and strong technology as applied to ASIC chip design, we intend to capture the growth opportunity along the value chain of the cryptocurrency industry to enhance our offerings and achieve a more stable financial performance.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also intend to engage in Bitcoin mining through self-owned facilities. We endeavor to grow our deployed computing power for mining and improve the energized hash rate to enhance our mining business. For the years ended December 31, 2021, 2022 and 2023, we generated revenue of US$3.4 million, US$32.5 million and US$34.0 million from the Bitcoin mining business, respectively.</w:t>
      </w:r>
    </w:p>
    <w:p>
      <w:pPr>
        <w:spacing w:after="0" w:line="328"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We have developed competitive advantages in our business and technological capabilities, including the following:</w:t>
      </w:r>
    </w:p>
    <w:p>
      <w:pPr>
        <w:spacing w:after="0" w:line="54" w:lineRule="exact"/>
        <w:rPr>
          <w:sz w:val="20"/>
          <w:szCs w:val="20"/>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expertise in the development, designing and production of Bitcoin mining machines;</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mastery of the whole IC design process;</w:t>
      </w:r>
    </w:p>
    <w:p>
      <w:pPr>
        <w:spacing w:after="0" w:line="90" w:lineRule="exact"/>
        <w:rPr>
          <w:rFonts w:ascii="Times New Roman" w:cs="Times New Roman" w:eastAsia="Times New Roman" w:hAnsi="Times New Roman"/>
          <w:sz w:val="18"/>
          <w:szCs w:val="18"/>
          <w:color w:val="auto"/>
        </w:rPr>
      </w:pPr>
    </w:p>
    <w:p>
      <w:pPr>
        <w:ind w:left="1820" w:right="9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years of accumulated engineering experience in applying theoretical research to the mass production of new products;</w:t>
      </w:r>
    </w:p>
    <w:p>
      <w:pPr>
        <w:spacing w:after="0" w:line="26"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 fast time-to-market with our products and our successful early monetization of the ASIC design in blockchain applications have provided us with an early advantage with respect to both technology and capital reserve to pursue our strategic initiatives;</w:t>
      </w:r>
    </w:p>
    <w:p>
      <w:pPr>
        <w:spacing w:after="0" w:line="54" w:lineRule="exact"/>
        <w:rPr>
          <w:rFonts w:ascii="Times New Roman" w:cs="Times New Roman" w:eastAsia="Times New Roman" w:hAnsi="Times New Roman"/>
          <w:sz w:val="18"/>
          <w:szCs w:val="18"/>
          <w:color w:val="auto"/>
        </w:rPr>
      </w:pPr>
    </w:p>
    <w:p>
      <w:pPr>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breakthroughs in various technological fields to improve ASIC performance, such as low voltage and high power efficiency operations and high computing density, all of which are crucial features for ASICs for blockchain and AI solutions;</w:t>
      </w:r>
    </w:p>
    <w:p>
      <w:pPr>
        <w:spacing w:after="0" w:line="40"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of most of the intellectual property we employ, and our accumulation of valuable know-how and multiple generations of proprietary silicon data through our long-term ASIC design experience;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36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partnerships with leading global suppliers, which have enabled us to achieve high-quality, high yield rate and stable production;</w:t>
      </w:r>
    </w:p>
    <w:p>
      <w:pPr>
        <w:spacing w:after="0" w:line="53"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penetration into the Bitcoin mining business by leveraging our experience in Bitcoin mining machines production and sales, as well as our relationship with global mining farms; and</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holistic AI solution to our customers, including AI inference chips, hardware module, end-product and software support services.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62" w:lineRule="exact"/>
        <w:rPr>
          <w:sz w:val="20"/>
          <w:szCs w:val="20"/>
          <w:color w:val="auto"/>
        </w:rPr>
      </w:pPr>
    </w:p>
    <w:p>
      <w:pPr>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We are a fabless IC designer engaged in the front -end and back-end of IC design, which are the major components of the IC product development chain. We currently dedicate our technology and expertise in ASIC chip design to Bitcoin mining machines and AI applications. We, through our operating subsidiaries, independently design and develop our products in- house, including the design of proprietary ASIC chips for our Bitcoin mining machines. Front-end IC design and back-end IC design are the key parts of the IC design process. We determine the parameters of the IC chip, establish the basic logic of the design, map out the initial plan for the physical layout, and conduct back-end verification on the design. We then work closely with industry- leading third-party suppliers to fabricate, test and package the IC products we design. Moreover, we have established in-house production capabilities to assemble both Bitcoin mining machines and AI chips. We assemble our Bitcoin mining machines primarily at our assembly plant located in the PRC by integrating the ICs produced by us and related components we procure. We believe our outstanding technical expertise and production experience in IC development chain enable us to continuously introduce ICs with higher performance and power efficiency for application in both the blockchain and AI fields. In addition,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also intend to engage in Bitcoin mining through self-owned facilities. As we endeavor to grow our deployed computing power for mining and improve the energized hash rate to enhance our mining business, we believe that such business will play a more significant role in supplementing our Bitcoin mining machines sales, mitigate our inventory risks and contribute to our financial and operating results.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On November 27, 2023, we entered into a Securities Purchase Agreement with an institutional investor, Streeterville Capital, LLC (the “Buyer”), pursuant to which we agreed to issue and sell to the Buyer up to 125,000 Series A Preferred Shares at the price of US $1,000.00 for each Series A Preferred Share (the “Preferred Shares Financing”) . The Preferred Shares Financing was conducted in three tranches. The first tranche and second tranche of the Preferred Shares Financing were closed on December 11, 2023 and January 22, 2024, respectively.</w:t>
      </w:r>
    </w:p>
    <w:p>
      <w:pPr>
        <w:spacing w:after="0" w:line="11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On September 27, 2024, we closed the third and final tranche of the Preferred Shares Financing, raising additional total gross proceeds of $50 million. Pursuant to the third tranche of Preferred Shares Financing, we issued 50,000 Preferred Shares (the “Third Closing Shares”) at a price of US$1,000.00 per Preferred Share. We agreed that the proceeds from the sale of the Third Closing Shares will be used to manufacture or invest in digital mining sites and equipment to be deployed or sold in North America, including any acquisition or disposition of assets from or between subsidiaries. The Third Closing Shares were sold under the amended terms of certain documents executed on September 26, 2024, namely, a global amendment to the Securities Purchase Agreement as well as an amended Certificate of Designations, Preferences and Rights as adopted by the Company.</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46" w:lineRule="exact"/>
        <w:rPr>
          <w:sz w:val="20"/>
          <w:szCs w:val="20"/>
          <w:color w:val="auto"/>
        </w:rPr>
      </w:pPr>
    </w:p>
    <w:p>
      <w:pPr>
        <w:ind w:left="1280" w:right="539" w:firstLine="360"/>
        <w:spacing w:after="0" w:line="26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We will remain an emerging growth company until the earliest to occur of: the last day of the fiscal year in which we have more than $1.235 billion in annual revenues; the date we qualify as a “large accelerated filer,”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539"/>
        <w:spacing w:after="0" w:line="250" w:lineRule="auto"/>
        <w:rPr>
          <w:sz w:val="20"/>
          <w:szCs w:val="20"/>
          <w:color w:val="auto"/>
        </w:rPr>
      </w:pPr>
      <w:r>
        <w:rPr>
          <w:rFonts w:ascii="Times New Roman" w:cs="Times New Roman" w:eastAsia="Times New Roman" w:hAnsi="Times New Roman"/>
          <w:sz w:val="18"/>
          <w:szCs w:val="18"/>
          <w:color w:val="auto"/>
        </w:rPr>
        <w:t>with at least $700 million of equity securities held by non-affiliates; the issuance, in any three-year period, by us of more than $1.0 billion in non-convertible debt securities; and the last day of the fiscal year ending after the fifth anniversary of our first sale of common equity securities pursuant to a U.S. registration. We will cease being an emerging growth company not later than December 31, 2024.</w:t>
      </w:r>
    </w:p>
    <w:p>
      <w:pPr>
        <w:spacing w:after="0" w:line="110"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publicly traded entities that are not emerging growth companies. These exemptions include: (i) the option to present only two years of audited financial statements and related discussion in the section titled “Operating and Financial Review and Prospects” in our filings with the SEC; (ii) not being required to comply with the auditor attestation requirements of Section 404(b) of the Sarbanes-Oxley Act of 2002; (iii) 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(i.e., an auditor discussion and analysis); (iv) not being required to submit certain executive compensation matters to shareholder advisory votes, such as “say-on-pay,” “say-on-frequency,” and “say-on-golden parachutes”; and (v) 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Foreign Private Issuer</w:t>
      </w:r>
    </w:p>
    <w:p>
      <w:pPr>
        <w:spacing w:after="0" w:line="146"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ind w:left="1560" w:hanging="282"/>
        <w:spacing w:after="0" w:line="238"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w:t>
      </w:r>
    </w:p>
    <w:p>
      <w:pPr>
        <w:ind w:left="1280" w:right="39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activities and liability for insiders who profit from trades made in a short period of time; and (iii) the rules under the Exchange Act requiring the filing with the SEC of Quarterly Reports on Form 10-Q containing unaudited financial and other specific information, and Current Reports on Form 8-K upon the occurrence of specified significant events.</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81" w:lineRule="exact"/>
        <w:rPr>
          <w:sz w:val="20"/>
          <w:szCs w:val="20"/>
          <w:color w:val="auto"/>
        </w:rPr>
      </w:pPr>
    </w:p>
    <w:p>
      <w:pPr>
        <w:ind w:left="1280" w:right="619" w:firstLine="360"/>
        <w:spacing w:after="0" w:line="250" w:lineRule="auto"/>
        <w:rPr>
          <w:sz w:val="20"/>
          <w:szCs w:val="20"/>
          <w:color w:val="auto"/>
        </w:rPr>
      </w:pPr>
      <w:r>
        <w:rPr>
          <w:rFonts w:ascii="Times New Roman" w:cs="Times New Roman" w:eastAsia="Times New Roman" w:hAnsi="Times New Roman"/>
          <w:sz w:val="18"/>
          <w:szCs w:val="18"/>
          <w:color w:val="auto"/>
        </w:rPr>
        <w:t>The principal executive offices of our main operations are located at 28 Ayer Rajah Crescent #06 -08, S139959, Singapore. Our telephone number at this address is +65 6305 6618. Our registered office in the Cayman Islands is located at the offices of Sertus Chambers, Suite #5-204, 23 Lime Tree Bay Avenue, P.O. Box 2547, Grand Cayman, KY1-1104, Cayman Islands.</w:t>
      </w:r>
    </w:p>
    <w:p>
      <w:pPr>
        <w:spacing w:after="0" w:line="42" w:lineRule="exact"/>
        <w:rPr>
          <w:sz w:val="20"/>
          <w:szCs w:val="20"/>
          <w:color w:val="auto"/>
        </w:rPr>
      </w:pPr>
    </w:p>
    <w:p>
      <w:pPr>
        <w:ind w:left="128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ind w:left="1280" w:right="8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can also find such information on our website </w:t>
      </w:r>
      <w:r>
        <w:rPr>
          <w:rFonts w:ascii="Times New Roman" w:cs="Times New Roman" w:eastAsia="Times New Roman" w:hAnsi="Times New Roman"/>
          <w:sz w:val="18"/>
          <w:szCs w:val="18"/>
          <w:i w:val="1"/>
          <w:iCs w:val="1"/>
          <w:color w:val="auto"/>
        </w:rPr>
        <w:t>https://investor.canaan-creative.com</w:t>
      </w:r>
      <w:r>
        <w:rPr>
          <w:rFonts w:ascii="Times New Roman" w:cs="Times New Roman" w:eastAsia="Times New Roman" w:hAnsi="Times New Roman"/>
          <w:sz w:val="18"/>
          <w:szCs w:val="18"/>
          <w:color w:val="auto"/>
        </w:rPr>
        <w:t>. The information contained on our website, or that can be accessed through our website, is not a part of this prospectus supplement and is not incorporated by reference into this prospectus supplement.</w:t>
      </w:r>
    </w:p>
    <w:p>
      <w:pPr>
        <w:spacing w:after="0" w:line="27"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notices, reports and communications that we provide to the depositary will be available to holders of ADSs upon request and the depositary will make available to all record holders of ADSs the information contained in any notice of a shareholders’ meeting received by the depositary from us if we request the depositary to solicit your voting instructions.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60" w:right="520" w:hanging="179"/>
        <w:spacing w:after="0" w:line="282" w:lineRule="auto"/>
        <w:rPr>
          <w:sz w:val="20"/>
          <w:szCs w:val="20"/>
          <w:color w:val="auto"/>
        </w:rPr>
      </w:pPr>
      <w:r>
        <w:rPr>
          <w:rFonts w:ascii="Times New Roman" w:cs="Times New Roman" w:eastAsia="Times New Roman" w:hAnsi="Times New Roman"/>
          <w:sz w:val="18"/>
          <w:szCs w:val="18"/>
          <w:color w:val="auto"/>
        </w:rPr>
        <w:t>Series A-1 Preferred Shares offered by us</w:t>
      </w:r>
    </w:p>
    <w:p>
      <w:pPr>
        <w:spacing w:after="0" w:line="40" w:lineRule="exact"/>
        <w:rPr>
          <w:sz w:val="20"/>
          <w:szCs w:val="20"/>
          <w:color w:val="auto"/>
        </w:rPr>
      </w:pPr>
    </w:p>
    <w:p>
      <w:pPr>
        <w:ind w:left="1460" w:right="700" w:hanging="179"/>
        <w:spacing w:after="0" w:line="266" w:lineRule="auto"/>
        <w:rPr>
          <w:sz w:val="20"/>
          <w:szCs w:val="20"/>
          <w:color w:val="auto"/>
        </w:rPr>
      </w:pPr>
      <w:r>
        <w:rPr>
          <w:rFonts w:ascii="Times New Roman" w:cs="Times New Roman" w:eastAsia="Times New Roman" w:hAnsi="Times New Roman"/>
          <w:sz w:val="18"/>
          <w:szCs w:val="18"/>
          <w:color w:val="auto"/>
        </w:rPr>
        <w:t>ADSs to be outstanding after this offering</w:t>
      </w:r>
    </w:p>
    <w:p>
      <w:pPr>
        <w:spacing w:after="0" w:line="68" w:lineRule="exact"/>
        <w:rPr>
          <w:sz w:val="20"/>
          <w:szCs w:val="20"/>
          <w:color w:val="auto"/>
        </w:rPr>
      </w:pPr>
    </w:p>
    <w:p>
      <w:pPr>
        <w:ind w:left="1460" w:right="160" w:hanging="179"/>
        <w:spacing w:after="0" w:line="282" w:lineRule="auto"/>
        <w:rPr>
          <w:sz w:val="20"/>
          <w:szCs w:val="20"/>
          <w:color w:val="auto"/>
        </w:rPr>
      </w:pPr>
      <w:r>
        <w:rPr>
          <w:rFonts w:ascii="Times New Roman" w:cs="Times New Roman" w:eastAsia="Times New Roman" w:hAnsi="Times New Roman"/>
          <w:sz w:val="18"/>
          <w:szCs w:val="18"/>
          <w:color w:val="auto"/>
        </w:rPr>
        <w:t>Class A ordinary shares to be issued and outstanding after this offering</w:t>
      </w:r>
    </w:p>
    <w:p>
      <w:pPr>
        <w:spacing w:after="0" w:line="54" w:lineRule="exact"/>
        <w:rPr>
          <w:sz w:val="20"/>
          <w:szCs w:val="20"/>
          <w:color w:val="auto"/>
        </w:rPr>
      </w:pPr>
    </w:p>
    <w:p>
      <w:pPr>
        <w:ind w:left="1460" w:right="180" w:hanging="179"/>
        <w:spacing w:after="0" w:line="282" w:lineRule="auto"/>
        <w:rPr>
          <w:sz w:val="20"/>
          <w:szCs w:val="20"/>
          <w:color w:val="auto"/>
        </w:rPr>
      </w:pPr>
      <w:r>
        <w:rPr>
          <w:rFonts w:ascii="Times New Roman" w:cs="Times New Roman" w:eastAsia="Times New Roman" w:hAnsi="Times New Roman"/>
          <w:sz w:val="18"/>
          <w:szCs w:val="18"/>
          <w:color w:val="auto"/>
        </w:rPr>
        <w:t>Series A-1 Preferred Shares to be issued and outstanding after this offering</w:t>
      </w:r>
    </w:p>
    <w:p>
      <w:pPr>
        <w:spacing w:after="0" w:line="54"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Conversion of Series A-1 Preferred Shares to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Liquidation Preference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3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30,000 Series A-1 Preferred Shares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273,741,843 ADSs</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4,223,697,753 shares</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30,000 Series A-1 Preferred Shares</w:t>
      </w:r>
    </w:p>
    <w:p>
      <w:pPr>
        <w:spacing w:after="0" w:line="333" w:lineRule="exact"/>
        <w:rPr>
          <w:sz w:val="20"/>
          <w:szCs w:val="20"/>
          <w:color w:val="auto"/>
        </w:rPr>
      </w:pPr>
    </w:p>
    <w:p>
      <w:pPr>
        <w:ind w:left="240" w:right="499"/>
        <w:spacing w:after="0" w:line="253" w:lineRule="auto"/>
        <w:rPr>
          <w:sz w:val="20"/>
          <w:szCs w:val="20"/>
          <w:color w:val="auto"/>
        </w:rPr>
      </w:pPr>
      <w:r>
        <w:rPr>
          <w:rFonts w:ascii="Times New Roman" w:cs="Times New Roman" w:eastAsia="Times New Roman" w:hAnsi="Times New Roman"/>
          <w:sz w:val="18"/>
          <w:szCs w:val="18"/>
          <w:color w:val="auto"/>
        </w:rPr>
        <w:t>At any time or times on or after the applicable issuance date, any holder of Series A-1 Preferred Shares shall be entitled to convert any portion of the outstanding and unpaid conversion amount into fully paid and non-assessable Class A ordinary shares at the conversion rate that shall be deposited for delivery of ADSs, subject to the terms and conditions of the deposit agreement. Conversion amount (the “Conversion Amount”) means the sum of</w:t>
      </w:r>
    </w:p>
    <w:p>
      <w:pPr>
        <w:spacing w:after="0" w:line="1" w:lineRule="exact"/>
        <w:rPr>
          <w:sz w:val="20"/>
          <w:szCs w:val="20"/>
          <w:color w:val="auto"/>
        </w:rPr>
      </w:pPr>
    </w:p>
    <w:p>
      <w:pPr>
        <w:ind w:left="240" w:right="419" w:hanging="10"/>
        <w:spacing w:after="0" w:line="250" w:lineRule="auto"/>
        <w:tabs>
          <w:tab w:leader="none" w:pos="4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stated value, meaning US$1,072.80 per Series A-1 Preferred Share, to be converted, (ii) the accrued and unpaid dividends with respect to such stated value, if any, and (iii) accrued and unpaid late charges with respect to such stated value and dividends, if any. Conversion price (the “Conversion Price”) means, as of any conversion date or other date of determination, the lower of</w:t>
      </w:r>
    </w:p>
    <w:p>
      <w:pPr>
        <w:spacing w:after="0" w:line="2" w:lineRule="exact"/>
        <w:rPr>
          <w:rFonts w:ascii="Times New Roman" w:cs="Times New Roman" w:eastAsia="Times New Roman" w:hAnsi="Times New Roman"/>
          <w:sz w:val="18"/>
          <w:szCs w:val="18"/>
          <w:color w:val="auto"/>
        </w:rPr>
      </w:pPr>
    </w:p>
    <w:p>
      <w:pPr>
        <w:ind w:left="240" w:right="539" w:hanging="10"/>
        <w:spacing w:after="0" w:line="251" w:lineRule="auto"/>
        <w:tabs>
          <w:tab w:leader="none" w:pos="4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and (ii) 92.50% of the lowest daily Weighted Average Price of the ADSs during the five consecutive trading day period immediately preceding the applicable conversion date, subject to adjustment as provided in the Certificate of Designations, Preferences and Rights. As used herein, “ADS ratio” means the number of Class A Ordinary Shares represented by one (1) ADS, which, as of the date hereof, equals fifteen (15).</w:t>
      </w:r>
    </w:p>
    <w:p>
      <w:pPr>
        <w:spacing w:after="0" w:line="113" w:lineRule="exact"/>
        <w:rPr>
          <w:sz w:val="20"/>
          <w:szCs w:val="20"/>
          <w:color w:val="auto"/>
        </w:rPr>
      </w:pPr>
    </w:p>
    <w:p>
      <w:pPr>
        <w:ind w:left="240" w:right="439"/>
        <w:spacing w:after="0" w:line="242" w:lineRule="auto"/>
        <w:rPr>
          <w:sz w:val="20"/>
          <w:szCs w:val="20"/>
          <w:color w:val="auto"/>
        </w:rPr>
      </w:pPr>
      <w:r>
        <w:rPr>
          <w:rFonts w:ascii="Times New Roman" w:cs="Times New Roman" w:eastAsia="Times New Roman" w:hAnsi="Times New Roman"/>
          <w:sz w:val="18"/>
          <w:szCs w:val="18"/>
          <w:color w:val="auto"/>
        </w:rPr>
        <w:t>No holder of Series A-1 Preferred Shares shall have the right to any Class A ordinary shares (or ADSs on subsequent deposit thereof) otherwise issuable and such issuance shall be null and void and treated as if never made, to the extent that after giving effect to such issuance, such holder together with its other attribution parties collectively would beneficially own in excess of 4.99% or 9.99%, as such holder shall have indicated in the Securities Purchase Agreement or as any subsequent transferee of Series A-1 Preferred Shares indicates in a written notice to the Company, (the “Maximum Percentage”) of the Class A ordinary shares issued and outstanding immediately after giving effect to such issuance, such Maximum Percentage to be set by each Buyer as to such Buyer and its other attribution parties.</w:t>
      </w:r>
    </w:p>
    <w:p>
      <w:pPr>
        <w:spacing w:after="0" w:line="291" w:lineRule="exact"/>
        <w:rPr>
          <w:sz w:val="20"/>
          <w:szCs w:val="20"/>
          <w:color w:val="auto"/>
        </w:rPr>
      </w:pPr>
    </w:p>
    <w:p>
      <w:pPr>
        <w:ind w:left="240" w:right="479"/>
        <w:spacing w:after="0" w:line="261"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or winding up, holders of Series A-1 Preferred Shares shall be entitled to receive in cash out of our assets, whether from capital or from earnings available for</w:t>
      </w:r>
    </w:p>
    <w:p>
      <w:pPr>
        <w:spacing w:after="0" w:line="200" w:lineRule="exact"/>
        <w:rPr>
          <w:sz w:val="20"/>
          <w:szCs w:val="20"/>
          <w:color w:val="auto"/>
        </w:rPr>
      </w:pPr>
    </w:p>
    <w:p>
      <w:pPr>
        <w:sectPr>
          <w:pgSz w:w="11900" w:h="16838" w:orient="portrait"/>
          <w:cols w:equalWidth="0" w:num="2">
            <w:col w:w="4480" w:space="240"/>
            <w:col w:w="5159"/>
          </w:cols>
          <w:pgMar w:left="580" w:top="97" w:right="1440" w:bottom="1440" w:gutter="0" w:footer="0" w:header="0"/>
          <w:type w:val="continuous"/>
        </w:sectPr>
      </w:pPr>
    </w:p>
    <w:p>
      <w:pPr>
        <w:spacing w:after="0" w:line="1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distribution to our shareholders, an amount per Series A-1</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Preferred Share equal to the greater of (i) the Conversion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Amount and (ii) the amount that would have been received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had such Series A-1 Preferred Shares been converted into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Class A ordinary shares issuable upon conversion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Series A-1 Preferred Shares immediately prior to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liquidation event at the then effective alternate conversion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price (without regard to any limitation on conversion).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Alternate conversion price (the “Alternate Conversion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Price”) means that price which shall be the lowest of (i)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applicable Conversion Price as in effect on the applicable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conversion date, (ii) 80% of the arithmetic average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three (3) lowest daily Weighted Average Prices of the ADSs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during the twenty (20) consecutive trading days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immediately preceding the applicable conversion date,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(iii) 80% of the Weighted Average Price of the ADSs on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applicable conversion date, (iv) 80% of the Weighted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Average Price of the ADSs on the trading day immediately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preceding the applicable conversion date and (v) 80%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lowest daily Weighted Average Price of the ADSs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during the twenty (20) consecutive trading days ending 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date of the first occurrence of the liquidation event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giving rise to the applicable conversion, inclusive, less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issuance fee.</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 the extent that a holder’s right to participate in any</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liquidation event would result in such holder and its other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attribution parties exceeding the Maximum Percentage, as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holder shall have indicated in the Securities Purchase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Agreement or as any subsequent transferee of Series A-1</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Preferred Shares indicates in a written notice to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Company, then such holder shall not be entitled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participate in such liquidation to such extent and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portion of such liquidation shall be held in abeyance for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holder and its other attribution parties until such time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or times as its right thereto would not result in such holder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its other attribution parties exceeding the Maximum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Percentage.</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If the liquidation funds are insufficient to pay the full</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amount due to the holders, if any, that are of equal rank</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with the Series A-1 Preferred Shares as to payments, then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each holder of Series A-1 Preferred Shares and each holder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any such pari passu shares shall receive a percentage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liquidation funds equal to the full amount of those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payable to such holder as a liquidation preference,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accordance with their respective Certificate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Designations, Preferences and Rights, as a percentage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full amount of liquidation funds payable to all holders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Series A-1 Preferred Shares and pari passu shares.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Voting</w:t>
      </w:r>
      <w:r>
        <w:rPr>
          <w:sz w:val="20"/>
          <w:szCs w:val="20"/>
          <w:color w:val="auto"/>
        </w:rPr>
        <w:tab/>
      </w:r>
      <w:r>
        <w:rPr>
          <w:rFonts w:ascii="Times New Roman" w:cs="Times New Roman" w:eastAsia="Times New Roman" w:hAnsi="Times New Roman"/>
          <w:sz w:val="18"/>
          <w:szCs w:val="18"/>
          <w:color w:val="auto"/>
        </w:rPr>
        <w:t>Except in relation to the negative covenants, affirmative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 and vote to change the terms of or issue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Series A-1 Preferred Shares as stipulated in the Certificate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Designations, Preferences and Rights, no voting rights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are carried by the Series A-1 Preferred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The holders of Series A-1 Preferred Shares shall be entitled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 receive dividends per Series A-1 Preferred Share when,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and if declared by the Board. Series A-1 Preferred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will be entitled to receive dividends to the same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extent as if such holders had converted the Series A-1</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Preferred Shares into Class A ordinary shares (without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regard to any limitations on conversion and assuming for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purpose that the Series A-1 Preferred Shares were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converted at the Alternate Conversion Price as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applicable record date) and had held such Class A ordinary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on the record date for such dividends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distributions.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Redemption</w:t>
      </w:r>
      <w:r>
        <w:rPr>
          <w:sz w:val="20"/>
          <w:szCs w:val="20"/>
          <w:color w:val="auto"/>
        </w:rPr>
        <w:tab/>
      </w:r>
      <w:r>
        <w:rPr>
          <w:rFonts w:ascii="Times New Roman" w:cs="Times New Roman" w:eastAsia="Times New Roman" w:hAnsi="Times New Roman"/>
          <w:sz w:val="18"/>
          <w:szCs w:val="18"/>
          <w:color w:val="auto"/>
        </w:rPr>
        <w:t>Upon the occurrence of a triggering event, we shall deliver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written notice to the holders of Series A-1 Preferred Shares,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holder may require us to redeem all or any portion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such holder’s Series A-1 Preferred Shares by delivering</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written notice thereof to us. Each Series A-1 Preferred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 subject to redemption by us shall be redeemed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cash at a price equal to the sum of (i) 115% of the greater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(x) the Conversion Amount being redeemed and (y)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product of (A) the Conversion Amount being redeemed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 the quotient determined by dividing (I) the greatest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closing sale price of the ADSs during the period beginning</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the date immediately preceding such triggering event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ending on the date such holder delivers the notice, by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(II) the lowest Alternate Conversion Price in effect during</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period and (ii) any unpaid amounts owed to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holder.</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Purchase Rights</w:t>
      </w:r>
      <w:r>
        <w:rPr>
          <w:sz w:val="20"/>
          <w:szCs w:val="20"/>
          <w:color w:val="auto"/>
        </w:rPr>
        <w:tab/>
      </w:r>
      <w:r>
        <w:rPr>
          <w:rFonts w:ascii="Times New Roman" w:cs="Times New Roman" w:eastAsia="Times New Roman" w:hAnsi="Times New Roman"/>
          <w:sz w:val="18"/>
          <w:szCs w:val="18"/>
          <w:color w:val="auto"/>
        </w:rPr>
        <w:t>If at any time after the subscription date we grant, issue or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sell any options, convertible securities or rights to purchase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warrants, securities or other property pro rata to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record holders of ADSs or Class A Ordinary Shares, then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holders of Series A-1 Preferred Shares will be entitled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 acquire the aggregate purchase rights which such holder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could have acquired if such holder had held the number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Class A Ordinary Shares (or ADSs corresponding to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Class A Ordinary Shares) acquirable upon complete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conversion of the Series A-1 Preferred Shares (without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taking into account any limitations or restrictions on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convertibility of the Series A-1 Preferred Shares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assuming for such purpose that the Series A-1 Preferred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were converted at the Alternate Conversion Price as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the applicable record date) immediately prior to the date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which a record is taken for the grant, issuance or sale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purchase rights, or, if no such record is taken, the date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of which the record holders of ADSs or Class A ordinary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are to be determined for the grant, issue or sale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Purchase Rights, provided, however, that to the extent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that a holder’s right to participate in any such purchase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right would result in such holder and its other attribution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parties exceeding the Maximum Percentage, then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holder shall not be entitled to participate in such purchase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right to such extent and such purchase right to such extent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shall be held in abeyance for such holder until such time 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times as its right thereto would not result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such holder and its other attribution parties exceeding the</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Maximum Percentage, at which time or times such holder</w:t>
            </w:r>
          </w:p>
        </w:tc>
      </w:tr>
      <w:tr>
        <w:trPr>
          <w:trHeight w:val="234"/>
        </w:trPr>
        <w:tc>
          <w:tcPr>
            <w:tcW w:w="3680" w:type="dxa"/>
            <w:vAlign w:val="bottom"/>
          </w:tcPr>
          <w:p>
            <w:pPr>
              <w:spacing w:after="0"/>
              <w:rPr>
                <w:sz w:val="20"/>
                <w:szCs w:val="20"/>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be granted such right.</w:t>
            </w: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currently intend to use the net proceeds from this</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offering, together with our existing cash and cash</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equivalents, for research and development, expansion of</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production scale, manufacturing or investing in digital</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mining sites and equipment for deployment and sales,</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including any acquisition or disposition of assets from or</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between our subsidiaries, and other general corporate</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purposes. See the section entitled “Use of Proceeds” on</w:t>
            </w:r>
          </w:p>
        </w:tc>
      </w:tr>
      <w:tr>
        <w:trPr>
          <w:trHeight w:val="234"/>
        </w:trPr>
        <w:tc>
          <w:tcPr>
            <w:tcW w:w="3680" w:type="dxa"/>
            <w:vAlign w:val="bottom"/>
          </w:tcPr>
          <w:p>
            <w:pPr>
              <w:spacing w:after="0"/>
              <w:rPr>
                <w:sz w:val="20"/>
                <w:szCs w:val="20"/>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 S-17 of this prospectus supplement.</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investment involves a high degree of risk. See the</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information contained in or incorporated by reference under</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“Risk Factors” beginning on page S-10 of this prospectus</w:t>
            </w:r>
          </w:p>
        </w:tc>
      </w:tr>
      <w:tr>
        <w:trPr>
          <w:trHeight w:val="194"/>
        </w:trPr>
        <w:tc>
          <w:tcPr>
            <w:tcW w:w="3680" w:type="dxa"/>
            <w:vAlign w:val="bottom"/>
          </w:tcPr>
          <w:p>
            <w:pPr>
              <w:spacing w:after="0"/>
              <w:rPr>
                <w:sz w:val="16"/>
                <w:szCs w:val="16"/>
                <w:color w:val="auto"/>
              </w:rPr>
            </w:pPr>
          </w:p>
        </w:tc>
        <w:tc>
          <w:tcPr>
            <w:tcW w:w="4520" w:type="dxa"/>
            <w:vAlign w:val="bottom"/>
            <w:gridSpan w:val="4"/>
          </w:tcPr>
          <w:p>
            <w:pPr>
              <w:spacing w:after="0" w:line="194" w:lineRule="exact"/>
              <w:rPr>
                <w:rFonts w:ascii="Times New Roman" w:cs="Times New Roman" w:eastAsia="Times New Roman" w:hAnsi="Times New Roman"/>
                <w:sz w:val="18"/>
                <w:szCs w:val="18"/>
                <w:color w:val="auto"/>
              </w:rPr>
            </w:pPr>
            <w:hyperlink r:id="rId32">
              <w:r>
                <w:rPr>
                  <w:rFonts w:ascii="Times New Roman" w:cs="Times New Roman" w:eastAsia="Times New Roman" w:hAnsi="Times New Roman"/>
                  <w:sz w:val="18"/>
                  <w:szCs w:val="18"/>
                  <w:color w:val="auto"/>
                </w:rPr>
                <w:t xml:space="preserve">supplement and in our </w:t>
              </w:r>
              <w:r>
                <w:rPr>
                  <w:rFonts w:ascii="Times New Roman" w:cs="Times New Roman" w:eastAsia="Times New Roman" w:hAnsi="Times New Roman"/>
                  <w:sz w:val="18"/>
                  <w:szCs w:val="18"/>
                  <w:color w:val="0000EE"/>
                </w:rPr>
                <w:t>Annual Report on Form 20-F for the</w:t>
              </w:r>
            </w:hyperlink>
          </w:p>
        </w:tc>
      </w:tr>
      <w:tr>
        <w:trPr>
          <w:trHeight w:val="20"/>
        </w:trPr>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80" w:type="dxa"/>
            <w:vAlign w:val="bottom"/>
          </w:tcPr>
          <w:p>
            <w:pPr>
              <w:spacing w:after="0"/>
              <w:rPr>
                <w:sz w:val="17"/>
                <w:szCs w:val="17"/>
                <w:color w:val="auto"/>
              </w:rPr>
            </w:pPr>
          </w:p>
        </w:tc>
        <w:tc>
          <w:tcPr>
            <w:tcW w:w="4520" w:type="dxa"/>
            <w:vAlign w:val="bottom"/>
            <w:gridSpan w:val="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year ended December 31, 2023</w:t>
              </w:r>
              <w:r>
                <w:rPr>
                  <w:rFonts w:ascii="Times New Roman" w:cs="Times New Roman" w:eastAsia="Times New Roman" w:hAnsi="Times New Roman"/>
                  <w:sz w:val="18"/>
                  <w:szCs w:val="18"/>
                  <w:color w:val="000000"/>
                </w:rPr>
                <w:t>, as well as those risk factors</w:t>
              </w:r>
            </w:hyperlink>
          </w:p>
        </w:tc>
      </w:tr>
      <w:tr>
        <w:trPr>
          <w:trHeight w:val="20"/>
        </w:trPr>
        <w:tc>
          <w:tcPr>
            <w:tcW w:w="36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218"/>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the other the documents incorporated by reference in this</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prospectus supplement and the accompanying prospectus</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a discussion of factors to consider carefully before</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deciding to purchase ADSs representing our shares or</w:t>
            </w:r>
          </w:p>
        </w:tc>
      </w:tr>
      <w:tr>
        <w:trPr>
          <w:trHeight w:val="234"/>
        </w:trPr>
        <w:tc>
          <w:tcPr>
            <w:tcW w:w="3680" w:type="dxa"/>
            <w:vAlign w:val="bottom"/>
          </w:tcPr>
          <w:p>
            <w:pPr>
              <w:spacing w:after="0"/>
              <w:rPr>
                <w:sz w:val="20"/>
                <w:szCs w:val="20"/>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A-1 Preferred Shares.</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symbol of</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There is no established public trading market for the</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A-1 Preferred Shares, and we do not expect a market</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develop. In addition, we do not intend to apply for listing</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Series A-1 Preferred Shares on The Nasdaq Global</w:t>
            </w:r>
          </w:p>
        </w:tc>
      </w:tr>
      <w:tr>
        <w:trPr>
          <w:trHeight w:val="216"/>
        </w:trPr>
        <w:tc>
          <w:tcPr>
            <w:tcW w:w="368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 or on any national securities or other nationally</w:t>
            </w:r>
          </w:p>
        </w:tc>
      </w:tr>
      <w:tr>
        <w:trPr>
          <w:trHeight w:val="234"/>
        </w:trPr>
        <w:tc>
          <w:tcPr>
            <w:tcW w:w="3680" w:type="dxa"/>
            <w:vAlign w:val="bottom"/>
          </w:tcPr>
          <w:p>
            <w:pPr>
              <w:spacing w:after="0"/>
              <w:rPr>
                <w:sz w:val="20"/>
                <w:szCs w:val="20"/>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recognized trading system.</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Investment in ADSs, Series A-1 Preferred Shares and our Class A ordinary shares involves risks. Before deciding whether to invest in ADSs, Series A-1 Preferred Shares and our Class A ordinary shares, you should consider carefully the risk factors discussed below and those contained in the section entitled “Risk Factors” contained in our </w:t>
      </w:r>
      <w:hyperlink r:id="rId32">
        <w:r>
          <w:rPr>
            <w:rFonts w:ascii="Times New Roman" w:cs="Times New Roman" w:eastAsia="Times New Roman" w:hAnsi="Times New Roman"/>
            <w:sz w:val="18"/>
            <w:szCs w:val="18"/>
            <w:i w:val="1"/>
            <w:iCs w:val="1"/>
            <w:u w:val="single" w:color="auto"/>
            <w:color w:val="0000EE"/>
          </w:rPr>
          <w:t>Annual Report on Form 20-F for the year ended December 31, 2023</w:t>
        </w:r>
      </w:hyperlink>
      <w:r>
        <w:rPr>
          <w:rFonts w:ascii="Times New Roman" w:cs="Times New Roman" w:eastAsia="Times New Roman" w:hAnsi="Times New Roman"/>
          <w:sz w:val="18"/>
          <w:szCs w:val="18"/>
          <w:i w:val="1"/>
          <w:iCs w:val="1"/>
          <w:color w:val="auto"/>
        </w:rPr>
        <w:t>, which is incorporated herein by reference in its entirety, as well as any amendment or update to our risk factors reflected in subsequent filings with the SEC. If any of the risks or uncertainties described in our SEC filings actually occurs, our business, financial condition, results of operations or cash flow could be materially and adversely affected. This could cause the trading price of ADSs to decline, resulting in a loss of all or part of your investment. The risks and uncertainties we have described are not the only ones facing our company. Additional risks and uncertainties not presently known to us or that we currently deem immaterial may also affect our business operations.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of this offering and may not use them effectively.</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for research and development, expansion of production scale, manufacturing or investing in digital mining sites and equipment for deployment and sales, including any acquisition or disposition of assets from or between our subsidiaries, and other general corporate purposes. However,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our market value. See “Use of Proceeds” for a description of our management’s intended use of the proceeds from this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performances of other PRC companies’ securities after their offerings may affect the attitudes of investors toward PRC companies listed in the United States in general and consequently may impact the trading performance of the ADSs, regardless of our actual operating performance.</w:t>
      </w:r>
    </w:p>
    <w:p>
      <w:pPr>
        <w:spacing w:after="0" w:line="34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of the ADSs may be highly volatile due to factors specific to our own operations, including the following:</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or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lockup or other transfer restrictions on our outstanding equity securities or sales of additional equity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4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On March 4, 2020, 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9" w:lineRule="auto"/>
        <w:rPr>
          <w:sz w:val="20"/>
          <w:szCs w:val="20"/>
          <w:color w:val="auto"/>
        </w:rPr>
      </w:pPr>
      <w:r>
        <w:rPr>
          <w:rFonts w:ascii="Times New Roman" w:cs="Times New Roman" w:eastAsia="Times New Roman" w:hAnsi="Times New Roman"/>
          <w:sz w:val="18"/>
          <w:szCs w:val="18"/>
          <w:color w:val="auto"/>
        </w:rPr>
        <w:t>putative class action was filed in the United States District Court of Oregon (the “Federal Action”) against us and certain of our officers and directors, among others. The complaint alleges that our registration statement on Form F-1, initially filed with the Securities and Exchange Commission on October 28, 2019 (File No. 333-234356), contained material misstatements and omissions in violation of federal securities laws.</w:t>
      </w:r>
    </w:p>
    <w:p>
      <w:pPr>
        <w:spacing w:after="0" w:line="3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March 6, 2020, another putative class action, making substantially similar allegations, was filed in New York County Supreme Court (the “State Action”) against us and certain of our officers and directors. On June 1, 2020, we filed a motion to stay all proceedings in the State Action pending adjudication of the Federal Action, which was granted on July 21, 2020. Subsequently, the Federal Action was transferred to the U.S. District Court for the Southern District of New York (the “Court”) on September 2, 2020. On October 7, 2020, lead plaintiffs in the Federal Action filed an amended complaint asserting claims under Section 11 of the Securities Act and Sections 10(b) and 20(a) of the Exchange Act for that the registration statement failed to disclose three alleged related party transactions. On December 7, 2020, we filed a motion to dismiss in the Federal Action and our motion to dismiss the amended complaint in the Federal Action. On July 8, 2021, the Court dismissed the first amended complaint but allowed plaintiffs to file a second amended complaint by August 6, 2021. On August 6, 2021, plaintiffs filed a letter motion for leave to file a second amended complaint. On August 27, 2021, we filed a letter response to oppose plaintiffs’ August 6, 2021 letter motion and to seek a final judgment dismissing the Federal Action to be entered. On March 31, 2022, the Court denied plaintiffs’ motion for leave to file a second amended complaint as futile and dismissed plaintiffs’ claims with prejudice. Plaintiffs did not appeal. Following dismissal with prejudice of the Federal Action, plaintiff in the State Action voluntarily discontinued his action with prejudice on June 2, 2022.</w:t>
      </w:r>
    </w:p>
    <w:p>
      <w:pPr>
        <w:spacing w:after="0" w:line="343"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On April 15, 2021, a new putative class action was filed in the U.S. District Court for the Southern District of New York against us and certain of our officers and directors. The complaint alleges that our statements in February 2021 about increased visibility into revenue and the size and quality of orders we were receiving were materially false and misleading. Plaintiff claims that the truth about our revenue was revealed in April 2021, when we announced our latest financial results. On December 9, 2021, the Court appointed Bill Lu and Liying Huang as lead plaintiffs and Brager Eagle &amp; Squire, P.C. as lead plaintiffs’ counsel. On February 7, 2022, lead plaintiffs filed an amended complaint asserting the same claims under Sections 10(b) and 20(a) of the Exchange Act against the same set of defendants. The amended complaint alleges our November 30, 2020 and February 10, 2021 press releases and the April 9, 2021 interview of our chief executive officer in an article published by Decrypt contained were false and misleading statements regarding the pre-sale orders we had received and our ability to secure sufficient chip supply to meet the increasing demand for mining machines, because those statements allegedly left “investors with the false impression that revenue in the fourth quarter 2020 would be solid” and allegedly omitted that the pre-sale orders were locked in at lower prices than the re-bounding Bitcoin market prices during the third quarter of 2019 and fourth quarter of 2020, and we had been experiencing significant supply chain disruptions during the fourth quarter of 2020. On April 8, 2022, we filed a motion to dismiss the amended complaint. On March 27, 2023, the Court granted Canaan’s motion to dismiss in full, but also allowed plaintiffs to further amend their amended complaint. On May 10, 2023, plaintiffs informed the Court that they decided not to file a second amended complaint. On May 12, 2023, the Court entered the judgment dismissing this action with prejudice. Plaintiffs did not appeal. If we were involved in a class action suit in the future,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16"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which may not be available on favorable terms or at all, and which may result in dilution of the equity interest of the holders of ADSs.</w:t>
      </w:r>
    </w:p>
    <w:p>
      <w:pPr>
        <w:spacing w:after="0" w:line="7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may require additional financing to fund research and development, expansion of production scale, and other general corporate purposes. We may consume available resources more rapidly than currently anticipated, resulting in the need for additional funding. Any additional fundraising efforts may divert our management from their day-to-day activities, which may adversely affect our business and operating results.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99"/>
        <w:spacing w:after="0" w:line="282" w:lineRule="auto"/>
        <w:rPr>
          <w:sz w:val="20"/>
          <w:szCs w:val="20"/>
          <w:color w:val="auto"/>
        </w:rPr>
      </w:pPr>
      <w:r>
        <w:rPr>
          <w:rFonts w:ascii="Times New Roman" w:cs="Times New Roman" w:eastAsia="Times New Roman" w:hAnsi="Times New Roman"/>
          <w:sz w:val="18"/>
          <w:szCs w:val="18"/>
          <w:color w:val="auto"/>
        </w:rPr>
        <w:t>If we cannot obtain financing when needed, or obtain it on favorable terms, we may be required to significantly reduce or refocus our future plans, resulting in increased costs.</w:t>
      </w:r>
    </w:p>
    <w:p>
      <w:pPr>
        <w:spacing w:after="0" w:line="81"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Alternatively, to obtain needed funds for acquisitions or operations, we may seek to issue additional ADSs representing our ordinary shares, or issue equity-linked debt, or we may choose to issue preferred shares, in either case through public or private financings. Additional funds may not be available on terms that are favorable to us and, in the case of such equity financings, may result in dilution to the holders of ADSs.</w:t>
      </w:r>
    </w:p>
    <w:p>
      <w:pPr>
        <w:spacing w:after="0" w:line="386"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may have an adverse effect on our business and expansion plans.</w:t>
      </w:r>
    </w:p>
    <w:p>
      <w:pPr>
        <w:spacing w:after="0" w:line="7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currently operate in Singapore, the PRC and the United States, export our products globally, and derive sales from sales of our products to customers globally. In addition, we rely on suppliers in multiple jurisdictions, including suppliers in the United States, for the supply of certain equipment and tools, such as our electronic design automation, a development tool. Changes and potential changes to trade policies, tariffs, export controls, economic sanctions, and supply chain restrictions in or affecting the jurisdictions in which we operate and to which we sell our products, or the perception that these changes or potential changes could occur, could adversely affect the financial and economic conditions in those jurisdictions, as well as our international sales, financial condition and results of operations.</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recent years, the U.S. government has imposed various restrictions on both inbound and outbound trade and investment with China. Such measures have imposed significant increases in tariff rates on goods imported into the United States, and restrictions on the export of certain products, software, and technology. In particular, the U.S. implemented export controls focused on the semiconductor and advanced computing industries. These restrictions may impact our operations, in particular, with regard to the development and manufacturing of current and new products. On October 28, 2024, the Office of Investment Security of the U.S. Department of the Treasury issued a final rule to implement President Biden’s August 2023 Executive Order on Addressing United States Investments in Certain National Security Technologies and Products in Countries of Concern. This executive order provided for the establishment of a new and targeted national security regulatory framework directed at controlling outbound investment from the United States in certain sensitive industry sectors in the People’s Republic of China and the Special Administrative Regions of Hong Kong and Macau. This rule is scheduled to be effective January 2, 2025 (the “Outbound Investment Rule”).</w:t>
      </w:r>
    </w:p>
    <w:p>
      <w:pPr>
        <w:spacing w:after="0" w:line="1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implemented by the Outbound Investment Rule, the new framework imposes notification requirements and prohibitions on specified investments by U.S. persons in the semiconductor and microelectronics sector, quantum information technologies, and artificial intelligence systems. Within the semiconductor and microelectronics sector, prohibited investments will include certain covered investments in electronic design automation software; certain fabrication and advanced packaging tools; the design, fabrication, or packaging of certain advanced integrated circuits, and supercomputers. Notifiable investments will include any covered investments related to the design, fabrication, or packaging of integrated circuits not otherwise covered by the prohibition. Persons from countries of concern engaged the development of the foregoing technologies are defined as “Covered Foreign Persons,” and certain investments by U.S. persons in Covered Foreign Persons are subject to the Outbound Investment Rule, including acquisitions of equity interests, certain debt financing, joint ventures, and certain investments as a limited partner in a non-U.S. person pooled investment fund related to Covered Foreign Persons. Once the Outbound Investment Rule becomes effective, we may be deemed a Covered Foreign Person because we are engaged in the design of integrated circuits. Even though U.S. persons’ acquisitions of certain publicly traded securities (such as the ADSs) will be exempted from the notification requirements and prohibitions under the Outbound Investment Rule, the Outbound Investment Rule could still limit our ability to raise additional capital from U.S. investors, which could increase our cost of capital or prevent us from raising sufficient capital when needed, negatively impacting our business, financial condition and prospects.</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Additionally, we plan to sell certain of our AI edge products to PRC manufacturers who will then incorporate our AI edge products into final products such as smart appliances. While our AI edge products sold to PRC customers are not currently subject to increased tariffs directly, the products of our PRC customers that incorporate our AI edge products may be subject to these tariffs. We cannot assure you that</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future restrictions on trade and tariffs implemented by the United States will not affect our products, which would negatively affect our expansion plans as well as our financial condition and results of operations.</w:t>
      </w:r>
    </w:p>
    <w:p>
      <w:pPr>
        <w:spacing w:after="0" w:line="144"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the ADSs, the price of ADSs could decline.</w:t>
      </w:r>
    </w:p>
    <w:p>
      <w:pPr>
        <w:spacing w:after="0" w:line="9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trading market for ADSs relies in part on the research and reports that industry or financial analysts publish about us or our business. We do not have control over these analysts. There can be no assurance that existing analysts will continue to provide research coverage or that new analysts will begin to provide research coverage. Although we have obtained analyst coverage, if one or more of the analysts covering our business downgrade their evaluations of the ADSs, the price of ADSs could decline. If one or more of these analysts cease to cover the ADSs, we could lose visibility in the market for the ADSs, which in turn could cause the ADS price to decline.</w:t>
      </w:r>
    </w:p>
    <w:p>
      <w:pPr>
        <w:spacing w:after="0" w:line="191"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shareholders and have to act through the depositary to exercise those rights.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Holders of ADSs do not have the same rights as shareholders and, accordingly, cannot exercise rights of shareholders against us. The Bank of New York Mellon, as depositary, or the Depositary, is the registered shareholder of the deposited shares represented by the ADSs. Therefore, holders of ADSs will generally have to exercise the rights attached to those shares through the Depositary. We intend to use reasonable efforts to request that the Depositary notify the holders of ADSs of upcoming votes and ask for voting instructions from them. If a holder fails to return a voting instruction card to the Depositary by the date established by the Depositary for receipt of such voting instructions, or if the Depositary receives an improperly completed or blank voting instruction card, or if the voting instructions included in the voting instruction card are illegible or unclear, then such holder may be deemed to have instructed the Depositary to give a discretionary proxy to a person designated by us to vote such shares.</w:t>
      </w:r>
    </w:p>
    <w:p>
      <w:pPr>
        <w:spacing w:after="0" w:line="182"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which could result in adverse U.S. federal income tax consequences to United States Holders of the ADSs or ordinary shares.</w:t>
      </w:r>
    </w:p>
    <w:p>
      <w:pPr>
        <w:spacing w:after="0" w:line="10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Based upon the market price of the ADSs, the value of our assets and the nature and composition of our income and assets, we believe we were not a PFIC for our taxable year ended December 31, 2023, although there can be no assurance in this regard.</w:t>
      </w:r>
    </w:p>
    <w:p>
      <w:pPr>
        <w:spacing w:after="0" w:line="10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 general, we will be a PFIC for any taxable year if, after applying the applicable look-through rules, either:</w:t>
      </w:r>
    </w:p>
    <w:p>
      <w:pPr>
        <w:spacing w:after="0" w:line="40"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(generally determined based on a quarterly average) of our assets is attributable to assets that produce or are held for the production of passive income.</w:t>
      </w:r>
    </w:p>
    <w:p>
      <w:pPr>
        <w:spacing w:after="0" w:line="8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and involves extensive factual investigation, including ascertaining the fair market value of all of our assets on a quarterly basis and the character of each item of income that we earn during the relevant taxable year, and is subject to uncertainty in several respects. The determination of whether we will be a PFIC for any taxable year may also depend in part upon the value of our goodwill and other unbooked intangibles not reflected on our balance sheet (which may depend upon the market price of the ADSs or ordinary shares from time to time, which may fluctuate significantly) and also may be affected by how, and how quickly, we spend our liquid assets and the cash we generate from our operations and raise in any offering. Accordingly, there can be no assurance that we will not be a PFIC for our current or any future taxable year. The U.S. Internal Revenue Service, or the IRS, does not issue rulings with respect to PFIC status, and we cannot assure you that the IRS, or a court, will agree with any determination we make.</w:t>
      </w:r>
    </w:p>
    <w:p>
      <w:pPr>
        <w:spacing w:after="0" w:line="32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(as defined in “Taxation —  United States Federal Income Tax Considerations”) hold the ADSs or ordinary shares, such United States Holder may be subject to certain adverse United States federal income tax consequences. For</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example, if we are or become a PFIC, a United States Holder may become subject to special and adverse tax rules with respect to any “excess distribution” received from the Company or any gain recognized on the sale or other disposition of the ADSs or ordinary shares. See “Taxation — United States Federal Income Tax Considerations — Passive Foreign Investment Company.” There can be no assurance that we will not be a PFIC for the current or any future taxable year.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Series A-1 Preferred Shares.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There is no established public trading market for our Series A-1 Preferred Shares, and we do not expect a market to develop. In addition, we do not intend to apply for listing of the Series A-1 Preferred Shares on any national securities exchange or other nationally recognized trading system. Without an active market, the liquidity of the Series A-1 Preferred Shares will be limited.</w:t>
      </w:r>
    </w:p>
    <w:p>
      <w:pPr>
        <w:spacing w:after="0" w:line="182" w:lineRule="exact"/>
        <w:rPr>
          <w:sz w:val="20"/>
          <w:szCs w:val="20"/>
          <w:color w:val="auto"/>
        </w:rPr>
      </w:pPr>
    </w:p>
    <w:p>
      <w:pPr>
        <w:ind w:left="1260" w:right="5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deposit of Class A ordinary shares for ADSs, the transfer of ADSs and the withdrawal of the underlying Class A ordinary shares.</w:t>
      </w:r>
    </w:p>
    <w:p>
      <w:pPr>
        <w:spacing w:after="0" w:line="77"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a governmental body, or under any provision of the deposit agreement, or for any other reason, subject to the right of ADS holders to cancel their ADSs and withdraw the underlying Class A ordinary shares. Temporary delays in the cancellation of your ADSs and withdrawal of the underlying Class A ordinary shares may arise because the depositary has closed its transfer books or we have closed our transfer books, and in other circumstances such as corporate actions including voting and dividend distributions. In addition, ADS holders may not be able to cancel their ADSs and withdraw the underlying Class A ordinary shares when they owe money for fees, taxes and similar charges and when it is necessary to prohibit withdrawals in order to comply with any laws or governmental regulations that apply to ADSs or to the withdrawal of Class A ordinary shares or other deposited securities.</w:t>
      </w:r>
    </w:p>
    <w:p>
      <w:pPr>
        <w:spacing w:after="0" w:line="179" w:lineRule="exact"/>
        <w:rPr>
          <w:sz w:val="20"/>
          <w:szCs w:val="20"/>
          <w:color w:val="auto"/>
        </w:rPr>
      </w:pPr>
    </w:p>
    <w:p>
      <w:pPr>
        <w:ind w:left="1260" w:right="10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conversion feature of the Series A-1 Preferred Shares may adversely affect our financial condition and operating results.</w:t>
      </w:r>
    </w:p>
    <w:p>
      <w:pPr>
        <w:spacing w:after="0" w:line="77"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the event the conversion feature of the Series A-1 Preferred Shares is exercised, holders of Series A-1 Preferred Shares will be entitled to convert the Series A-1 Preferred Shares at any time during specified periods at their option. See “Description of the Series A-1 Preferred Shares — Conversion.” If one or more holders elect to convert their Series A-1 Preferred Shares, if we failed to perform our conversion obligation by delivering the Class A ordinary shares and causing the Depositary to credit such holder’s balance account with DTC for the number of ADSs issuable upon deposit of such Class A ordinary shares, under certain circumstances, we would be required to settle our conversion obligation through the payment of cash, which could adversely affect our liquidity. In addition, even if holders do not elect to convert their Series A-1 Preferred Shares, we could be required under applicable accounting rules to reclassify all or a portion of the outstanding principal of the Series A-1 Preferred Shares as a current rather than long-term liability, which would result in a material reduction of our net working capital.</w:t>
      </w:r>
    </w:p>
    <w:p>
      <w:pPr>
        <w:spacing w:after="0" w:line="191"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Series A-1 Preferred Shares will have no voting rights until such holders convert their Series A-1 Preferred Shares and acquire our ordinary shares.</w:t>
      </w:r>
    </w:p>
    <w:p>
      <w:pPr>
        <w:spacing w:after="0" w:line="105"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Until holders Series A-1 Preferred Shares convert their Series A-1 Preferred Shares and acquire Class A ordinary shares, such holders will have no voting rights (except in relation to the negative covenants, affirmative covenants and vote to change the terms of or issue Series A-1 Preferred Shares as stipulated in the Certificate of Designation, Preferences and Rights), with respect to the Class A ordinary shares issuable upon conversion of such Series A-1 Preferred Shares. Upon conversion of the Series A-1 Preferred Shares, the holders will be entitled to exercise the rights of an ordinary shareholder only as to matters for which the record date occurs after the conversion date.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ordinary shares may not be permitted to convert the Series A-1 Preferred Shares that they hold.</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holder of Series A-1 Preferred Shares will have the right to any ADSs issued and such issuance shall be null and void and treated as if never made, to the extent that after giving effect to such issuance, such holder together with the other Attribution Parties collectively would beneficially own in excess of 4.99% or 9.99%, as such holder shall have indicated in the Securities Purchase Agreement or as any subsequent transferee of Series A-1 Preferred Shares indicates in a written notice to the Company, of the Class A ordinary shares issued and outstanding immediately after giving effect to such issuance. As a result, you may not be able to exercise your right to convert the Series A-1 Preferred Shares into Class A ordinary shares at a time when it would be financially beneficial for you to do so. In such a circumstance, you could seek to i) sell your Series A-1 Preferred Shares to realize value, but you may be unable to do so in the absence of an established trading market and due to applicable transfer restrictions, or ii) if any Series A-1 Preferred Shares remain issued and outstanding on the Maturity Date, you may request the Company to redeem such Series A-1 Preferred Shares in cash in an amount equal to 105% of the Conversion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Certain statements made herein that look forward in time or express management’s expectations or beliefs with respect to the occurrence of future events are forward-looking statements as defined under Section 21E of the Securities Exchange Act of 1934, as amended, and are subject to the safe harbor created therein for forward-looking statements. Such statements include, but are not limited to, statements concerning our anticipated operating results, research and development,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we expect or anticipate will or may occur in the future, are forward-looking statements.</w:t>
      </w:r>
    </w:p>
    <w:p>
      <w:pPr>
        <w:spacing w:after="0" w:line="121" w:lineRule="exact"/>
        <w:rPr>
          <w:sz w:val="20"/>
          <w:szCs w:val="20"/>
          <w:color w:val="auto"/>
        </w:rPr>
      </w:pPr>
    </w:p>
    <w:p>
      <w:pPr>
        <w:ind w:left="1260" w:right="439" w:firstLine="36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We caution investors that actual results or business conditions may differ materially from those projected or suggested in forward-looking statements as a result of various factors including, but not limited </w:t>
      </w:r>
      <w:hyperlink r:id="rId32">
        <w:r>
          <w:rPr>
            <w:rFonts w:ascii="Times New Roman" w:cs="Times New Roman" w:eastAsia="Times New Roman" w:hAnsi="Times New Roman"/>
            <w:sz w:val="18"/>
            <w:szCs w:val="18"/>
            <w:color w:val="auto"/>
          </w:rPr>
          <w:t xml:space="preserve">to, those described above and in the Risk Factors section of our </w:t>
        </w:r>
        <w:r>
          <w:rPr>
            <w:rFonts w:ascii="Times New Roman" w:cs="Times New Roman" w:eastAsia="Times New Roman" w:hAnsi="Times New Roman"/>
            <w:sz w:val="18"/>
            <w:szCs w:val="18"/>
            <w:u w:val="single" w:color="auto"/>
            <w:color w:val="0000EE"/>
          </w:rPr>
          <w:t>annual report on Form 20-F for the year</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00"/>
          </w:rPr>
          <w:t>, and our subsequent SEC filings. All forward-looking statements contained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in this prospectus supplement are expressly qualified in their entirety by these cautionary statements. Unless required by law, we undertake no obligation to publicly update or review any forward-looking statement, whether as a result of new information, future developments or otherwise. These cautionary statements qualify all forward-looking statements attributable to us or persons acting on our behalf.</w:t>
      </w:r>
    </w:p>
    <w:p>
      <w:pPr>
        <w:spacing w:after="0" w:line="3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also contains or incorporates by reference market data relating to the IC industry that are based on industry publications and reports. Statistical data in these publications and reports also include projections based on a number of assumptions. The failure of these markets to grow at the projected rates may have a material adverse effect on our business and the market price of the ADSs. If any one or more of the assumptions underlying the market data turns out to be incorrect, actual results may differ from the projections based on these assumptions.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read thoroughly this prospectus supplement and the documents that we refer to with the understanding that our actual future results may be materially different from and worse than what we expect. Other sections of this prospectus supplement and the accompanying base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You should not place undue reliance on these forward-looking statements.</w:t>
      </w:r>
    </w:p>
    <w:p>
      <w:pPr>
        <w:spacing w:after="0" w:line="33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prospectus supplement and the accompanying prospectus relate only to events or information as of the date on which the respective statements are made in this prospectus supplement and the accompanying prospectus. Except as required by law, we undertake no obligation to update any forward-looking statements to reflect events or circumstances after the date on which the statements are made or to reflect the occurrence of unanticipated events. You should read this prospectus supplement, the accompanying prospectus and the documents that we have referred to in this prospectus supplement and the accompanying prospectus and have filed as exhibits to the registration statement, of which this prospectus supplement and the accompanying prospectus are a part,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from the sale of 30,000 Series A-1 Preferred Shares that we are offering will be approximately US$30 million, based on the purchase price of US$1,000.00 per Series A-1 Preferred Shares and after deducting the estimated offering expenses payable by us. We currently intend to use the net proceeds from this offering, together with our existing cash and cash equivalents, for research and development, expansion of production scale, manufacturing or investing in digital mining sites and equipment for deployment and sales, including any acquisition or disposition of assets from or between our subsidiaries, and other general corporate purposes, unless otherwise indicated in any applicable prospectus supplement. As a result, management will retain broad discretion over the use of net proceeds.</w:t>
      </w:r>
    </w:p>
    <w:p>
      <w:pPr>
        <w:spacing w:after="0" w:line="124"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upon our present plans and business condition.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access additional financing, the relative success and cost of our research and development programs and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2024 on:</w:t>
      </w:r>
    </w:p>
    <w:p>
      <w:pPr>
        <w:spacing w:after="0" w:line="117"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on a pro forma basis to give effect to the issuance and sale by us of 30,000 Series A-1 Convertible Preferred Shares at aggregate principal amount of US$30,000,000 pursuant to this prospectus supplement and the accompanying prospectus.</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pro forma information discussed below is illustrative only. Our total capitalization, including the Series A-1 convertible preferred shares, and total shareholders’ equity following the completion of this offering are subject to adjustment based on the actual price and other terms.</w:t>
      </w:r>
    </w:p>
    <w:p>
      <w:pPr>
        <w:spacing w:after="0" w:line="95" w:lineRule="exact"/>
        <w:rPr>
          <w:sz w:val="20"/>
          <w:szCs w:val="20"/>
          <w:color w:val="auto"/>
        </w:rPr>
      </w:pPr>
    </w:p>
    <w:p>
      <w:pPr>
        <w:jc w:val="both"/>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The information set forth in the following table should be read in conjunction with, and is qualified in its entirety by, reference to our audited financial statements and the notes thereto incorporated by reference into this prospectus supplement and the accompanying prospectus.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 of September 30, 2024 </w:t>
            </w:r>
            <w:r>
              <w:rPr>
                <w:rFonts w:ascii="Times New Roman" w:cs="Times New Roman" w:eastAsia="Times New Roman" w:hAnsi="Times New Roman"/>
                <w:sz w:val="28"/>
                <w:szCs w:val="28"/>
                <w:b w:val="1"/>
                <w:bCs w:val="1"/>
                <w:color w:val="auto"/>
                <w:vertAlign w:val="subscript"/>
              </w:rPr>
              <w:t>​</w:t>
            </w:r>
          </w:p>
        </w:tc>
        <w:tc>
          <w:tcPr>
            <w:tcW w:w="6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Pro Forma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1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2"/>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ind w:left="40"/>
              <w:spacing w:after="0" w:line="25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1"/>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convertible preferred shares</w:t>
      </w:r>
    </w:p>
    <w:p>
      <w:pPr>
        <w:spacing w:after="0" w:line="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A-1 convertible preferred shares</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0" w:lineRule="exact"/>
        <w:rPr>
          <w:sz w:val="20"/>
          <w:szCs w:val="20"/>
          <w:color w:val="auto"/>
        </w:rPr>
      </w:pPr>
    </w:p>
    <w:p>
      <w:pPr>
        <w:ind w:left="1440" w:hanging="179"/>
        <w:spacing w:after="0" w:line="261" w:lineRule="auto"/>
        <w:rPr>
          <w:sz w:val="20"/>
          <w:szCs w:val="20"/>
          <w:color w:val="auto"/>
        </w:rPr>
      </w:pPr>
      <w:r>
        <w:rPr>
          <w:rFonts w:ascii="Times New Roman" w:cs="Times New Roman" w:eastAsia="Times New Roman" w:hAnsi="Times New Roman"/>
          <w:sz w:val="18"/>
          <w:szCs w:val="18"/>
          <w:color w:val="auto"/>
        </w:rPr>
        <w:t>Ordinary shares (US$0.00000005 par value; 999,999,875,000 shares authorized, 4,555,500,242 shares issued and 4,324,281,437 shares outstanding, actual; 999,999,675,000 shares authorized, 4,555,500,242 shares issued and 4,324,281,437 shares outstanding as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right="320" w:hanging="179"/>
        <w:spacing w:after="0" w:line="281" w:lineRule="auto"/>
        <w:rPr>
          <w:sz w:val="20"/>
          <w:szCs w:val="20"/>
          <w:color w:val="auto"/>
        </w:rPr>
      </w:pPr>
      <w:r>
        <w:rPr>
          <w:rFonts w:ascii="Times New Roman" w:cs="Times New Roman" w:eastAsia="Times New Roman" w:hAnsi="Times New Roman"/>
          <w:sz w:val="18"/>
          <w:szCs w:val="18"/>
          <w:color w:val="auto"/>
        </w:rPr>
        <w:t>Treasury stocks (US$0.00000005 par value; 231,218,805 shares, actual, and pro forma)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3"/>
          <w:szCs w:val="23"/>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104140</wp:posOffset>
            </wp:positionV>
            <wp:extent cx="1234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78"/>
        </w:trPr>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73"/>
        </w:trPr>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(57,055)​​</w:t>
            </w: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(57,055)​​ ​</w:t>
            </w:r>
          </w:p>
        </w:tc>
        <w:tc>
          <w:tcPr>
            <w:tcW w:w="0" w:type="dxa"/>
            <w:vAlign w:val="bottom"/>
          </w:tcPr>
          <w:p>
            <w:pPr>
              <w:spacing w:after="0"/>
              <w:rPr>
                <w:sz w:val="1"/>
                <w:szCs w:val="1"/>
                <w:color w:val="auto"/>
              </w:rPr>
            </w:pPr>
          </w:p>
        </w:tc>
      </w:tr>
      <w:tr>
        <w:trPr>
          <w:trHeight w:val="279"/>
        </w:trPr>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763,293​​</w:t>
            </w: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763,293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(47,736)</w:t>
            </w:r>
          </w:p>
        </w:tc>
        <w:tc>
          <w:tcPr>
            <w:tcW w:w="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(47,736)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(357,588)</w:t>
            </w:r>
          </w:p>
        </w:tc>
        <w:tc>
          <w:tcPr>
            <w:tcW w:w="860" w:type="dxa"/>
            <w:vAlign w:val="bottom"/>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(357,588)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6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3"/>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​315,806</w:t>
            </w:r>
            <w:r>
              <w:rPr>
                <w:rFonts w:ascii="Times New Roman" w:cs="Times New Roman" w:eastAsia="Times New Roman" w:hAnsi="Times New Roman"/>
                <w:sz w:val="28"/>
                <w:szCs w:val="28"/>
                <w:color w:val="auto"/>
                <w:vertAlign w:val="subscript"/>
              </w:rPr>
              <w:t>​​</w:t>
            </w:r>
          </w:p>
        </w:tc>
        <w:tc>
          <w:tcPr>
            <w:tcW w:w="86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​315,806</w:t>
            </w:r>
            <w:r>
              <w:rPr>
                <w:rFonts w:ascii="Times New Roman" w:cs="Times New Roman" w:eastAsia="Times New Roman" w:hAnsi="Times New Roman"/>
                <w:sz w:val="28"/>
                <w:szCs w:val="28"/>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​392,910</w:t>
            </w:r>
            <w:r>
              <w:rPr>
                <w:rFonts w:ascii="Times New Roman" w:cs="Times New Roman" w:eastAsia="Times New Roman" w:hAnsi="Times New Roman"/>
                <w:sz w:val="27"/>
                <w:szCs w:val="27"/>
                <w:color w:val="auto"/>
                <w:vertAlign w:val="subscript"/>
              </w:rPr>
              <w:t>​​</w:t>
            </w:r>
          </w:p>
        </w:tc>
        <w:tc>
          <w:tcPr>
            <w:tcW w:w="8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​422,910</w:t>
            </w:r>
            <w:r>
              <w:rPr>
                <w:rFonts w:ascii="Times New Roman" w:cs="Times New Roman" w:eastAsia="Times New Roman" w:hAnsi="Times New Roman"/>
                <w:sz w:val="27"/>
                <w:szCs w:val="2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20" w:space="140"/>
            <w:col w:w="2419"/>
          </w:cols>
          <w:pgMar w:left="580" w:top="97" w:right="1440" w:bottom="1440" w:gutter="0" w:footer="0" w:header="0"/>
          <w:type w:val="continuous"/>
        </w:sectPr>
      </w:pPr>
    </w:p>
    <w:p>
      <w:pPr>
        <w:spacing w:after="0" w:line="47" w:lineRule="exact"/>
        <w:rPr>
          <w:sz w:val="20"/>
          <w:szCs w:val="20"/>
          <w:color w:val="auto"/>
        </w:rPr>
      </w:pPr>
    </w:p>
    <w:p>
      <w:pPr>
        <w:jc w:val="both"/>
        <w:ind w:left="1620" w:right="859" w:hanging="360"/>
        <w:spacing w:after="0" w:line="302" w:lineRule="auto"/>
        <w:tabs>
          <w:tab w:leader="none" w:pos="1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the table above for the Series A-1 convertible preferred shares represents the gross proceeds without reflecting expenses, or other potential effects as we are still in the process of determining the related accounting treatment.</w:t>
      </w:r>
    </w:p>
    <w:p>
      <w:pPr>
        <w:spacing w:after="0" w:line="26" w:lineRule="exact"/>
        <w:rPr>
          <w:rFonts w:ascii="Times New Roman" w:cs="Times New Roman" w:eastAsia="Times New Roman" w:hAnsi="Times New Roman"/>
          <w:sz w:val="14"/>
          <w:szCs w:val="14"/>
          <w:color w:val="auto"/>
        </w:rPr>
      </w:pPr>
    </w:p>
    <w:p>
      <w:pPr>
        <w:ind w:left="1620" w:right="999" w:hanging="360"/>
        <w:spacing w:after="0" w:line="302" w:lineRule="auto"/>
        <w:tabs>
          <w:tab w:leader="none" w:pos="1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capitalization is the sum of Series A convertible preferred shares, Series A-1 convertible preferred shares and total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SERIES A-1 PREFERRED SHARES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are issuing 30,000 Series A-1 Convertible Preferred Shares (the “Series A-1 Preferred Shares”) under the Certificate of Designations, Preferences and Rights of Series A-1 Convertible Preferred Shares of Canaan Inc. dated as of November 19, 2024 (the “Certificate of Designations”). This description of the Series A-1 Preferred Shares supplements and, to the extent it is inconsistent, supersedes the information in the “Description of Preferred Shares” section in the accompanying prospectus.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Series A-1 Preferred Shares and the Certificate of Designations and does not purport to be complete. This summary is subject to and is qualified by reference to all of the provisions of the Certificate of Designations, including the definitions of certain terms used in the Certificate of Designations that are capitalized but not defined herein. We urge you to read the full text of the Certificate of Designations because they, and not this description, define the rights as a holder of the Series A -1 Preferred Shares. The Certificate of Designations was filed as an exhibit to the Form 6-K dated filed with the SEC on November 19, 2024.</w:t>
      </w:r>
    </w:p>
    <w:p>
      <w:pPr>
        <w:spacing w:after="0" w:line="11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references to “we”, “our”, “us” and the “Company” refer only to Canaan Inc. and not to its consolidated subsidiaries.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Series A- 1 Preferred Shares shall rank prior and superior to all of the Ordinary Shares and any other shares in the capital of the Company (other than the Series A Preferred Shares) with respect to the preferences as to dividends, distributions and payments upon a Liquidation Event (such shares being referred to hereinafter collectively as “Junior Shares”). The rights of the Junior Shares shall be of junior rank to and subject to the preferences and relative rights of the Series A-1 Preferred Shares. The Series A-1 Preferred Shares shall rank equally with the Series A Preferred Shares with respect to the preferences as to dividends, distributions and payments upon a Liquidation Event.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4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any Series A-1 Preferred Shares remain issued and outstanding on the Maturity Date, the Company shall redeem such Series A- 1 Preferred Shares in cash in an amount equal to 105% of the Conversion Amount (as defined below) for each such Series A-1 Preferred Share. The “Maturity Date” with respect to any Series A-1 Preferred Shares shall be the date that is twelve (12) months immediately following the applicable issuance date of such Series A-1 Preferred Shares, as may be extended at the option of each Holder (i) in the event that, and for so long as, a Triggering Event (as defined below) shall have occurred and be continuing on the Maturity Date (as may be extended pursuant to Section 2 of the Certificate of Designations) or any event shall have occurred and be continuing on the Maturity Date (as may be extended pursuant to Section 2 of the Certificate of Designations) that with the passage of time and the failure to cure would result in a Triggering Event and (ii) through the date that is ten (10) Business Days after the consummation of a Change of Control in the event that a Change of Control is publicly announced or a Change of Control Notice (as defined below) is delivered prior to the Maturity Date. Other than as specifically permitted by the Certificate of Designations, the Company may not prepay any portion of the outstanding stated value, accrued and unpaid dividends, if any, or accrued and unpaid late charges on stated value and dividends, if any.</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6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Preferential Payment to Holders</w:t>
      </w:r>
      <w:r>
        <w:rPr>
          <w:rFonts w:ascii="Times New Roman" w:cs="Times New Roman" w:eastAsia="Times New Roman" w:hAnsi="Times New Roman"/>
          <w:sz w:val="18"/>
          <w:szCs w:val="18"/>
          <w:color w:val="auto"/>
        </w:rPr>
        <w:t>. In the event of a Liquidation Event, holders of Series A-1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shall be entitled to receive in cash out of the assets of the Company, whether from capital or from earnings available for distribution to its shareholders (the “Liquidation Funds”), upon such Liquidation Event, but before any amount shall be paid to the holders of any Junior Shares, an amount per Series A-1 Preferred Share equal to the greater of (i) the Conversion Amount and (ii) the amount that would have been received had such Series A-1 Preferred Shares been converted into the Class A Ordinary Shares issuable upon conversion of the Series A-1 Preferred Shares immediately prior to such Liquidation Event at the then effective Alternate Conversion Price (without regard to any limitations on conversion); provided that, if the Liquidation Funds are insufficient to pay the full amount due to the Holders and holders of shares of other classes or series of preferred shares of the Company, if any, that are of equal rank with the Series A-1</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Preferred Shares as to payments of Liquidation Funds (such shares being referred to hereinafter collectively as “Pari Passu Shares”), if any, then each Holder and each holder of any such Pari Passu Shares shall receive a percentage of the Liquidation Funds equal to the full amount of Liquidation Funds payable to such Holder as a liquidation preference, in accordance with the Certificate of Designations, as a percentage of the full amount of Liquidation Funds payable to all holders of Series A-1 Preferred Shares and Pari Passu Shares.</w:t>
      </w:r>
    </w:p>
    <w:p>
      <w:pPr>
        <w:spacing w:after="0" w:line="33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Maximum Percentage. </w:t>
      </w:r>
      <w:r>
        <w:rPr>
          <w:rFonts w:ascii="Times New Roman" w:cs="Times New Roman" w:eastAsia="Times New Roman" w:hAnsi="Times New Roman"/>
          <w:sz w:val="18"/>
          <w:szCs w:val="18"/>
          <w:color w:val="auto"/>
        </w:rPr>
        <w:t>Notwithstanding the foregoing, to the extent that a Holder’s right to participate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liquidation would result in such Holder and such Holder’s other Attribution Parties exceeding the Maximum Percentage (as defined below), if applicable, then such Holder shall not be entitled to participate in such liquidation to such extent (and shall not be entitled to beneficial ownership of such Class A Ordinary Shares as a result of such liquidation (and beneficial ownership) to such extent) and the portion of such liquidation shall be held in abeyance for such Holder until such time or times as its right thereto would not result in such Holder and its other Attribution Parties exceeding the Maximum Percentage, if applicable, at which time or times such Holder shall be granted such rights (and any rights under Section 3 of the Certificate of Designations to be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From and after the issuance date, the Holders shall be entitled to receive dividends per Series A-1 Preferred Share when, as and if declared by the Board.</w:t>
      </w:r>
    </w:p>
    <w:p>
      <w:pPr>
        <w:spacing w:after="0" w:line="8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the Holders shall be entitled to receive such dividends paid and distributions made to the holders of Class A Ordinary Shares to the same extent as if such Holders had converted the Series A-1 Preferred Shares into Class A Ordinary Shares (without regard to any limitations on conversion and assuming for such purpose that the Series A-1 Preferred Shares were converted at the Alternate Conversion Price as of the applicable record date) and had held such Class A Ordinary Shares on the record date for such dividends and distributions.</w:t>
      </w:r>
    </w:p>
    <w:p>
      <w:pPr>
        <w:spacing w:after="0" w:line="12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Following the occurrence of a Liquidation Event and the payment in full to a Holder of its liquidation preference as set forth in Section 3 of the Certificate of Designations, such Holder shall cease to have any rights under the Certificate of Designations to participate in any future dividends or distributions made to the holders of the ADSs or Class A Ordinary Shares. The Company shall not declare or pay any dividends on any Junior Shares or Pari Passu Shares unless the Holders shall simultaneously receive dividends on a pro rata basis as if the Series A-1 Preferred Shares had been converted into ADSs or the Class A Ordinary Shares represented by such ADSs issuable upon conversion of the Series A-1 Preferred Shares immediately prior to the record date for determining the shareholders eligible to receive such dividends. Notwithstanding the foregoing, to the extent that a Holder’s right to participate in such dividends or distributions would result in such Holder and its other attribution parties exceeding the Maximum Percentage, then such Holder shall not be entitled to participate in such dividends or distribution to such extent, and the portion of such dividends or distribution shall be held in abeyance for such Holder until such time or times as its rights thereto would not result in such Holder and its other attribution parties exceeding the Maximum Percentage, at which time such Holder shall be granted such rights to the same extent as if there had been no such limitation.</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any time or times on or after the applicable issuance date, any holder shall be entitled to convert any portion of the outstanding and unpaid conversion amount into fully paid and non-assessable Class A Ordinary Shares at the Conversion Rate, provided that such holder shall only be entitled to submit a Conversion Notice for a number of Class A Ordinary Shares representing a whole number of ADS(s) (unless such Holder converts the remaining balance of Series A-1 Preferred Shares it holds, in which case the Company shall, subject to the Maximum Percentage, round such number of Class A Ordinary Shares up to the number of Class A Ordinary Shares corresponding to the nearest whole ADS. The number of Class A Ordinary Shares issuable upon conversion of any Conversion Amount shall be determined by dividing</w:t>
      </w:r>
    </w:p>
    <w:p>
      <w:pPr>
        <w:spacing w:after="0" w:line="1" w:lineRule="exact"/>
        <w:rPr>
          <w:sz w:val="20"/>
          <w:szCs w:val="20"/>
          <w:color w:val="auto"/>
        </w:rPr>
      </w:pPr>
    </w:p>
    <w:p>
      <w:pPr>
        <w:ind w:left="1260" w:right="799"/>
        <w:spacing w:after="0" w:line="260" w:lineRule="auto"/>
        <w:tabs>
          <w:tab w:leader="none" w:pos="15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Conversion Amount by (y) the Conversion Price less the issuance fee (the “Conversion Rate”). Absent a written instruction by a Holder to the contrary upon delivery of a Conversion Notice, the</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Class A Ordinary Shares issuable upon conversion of the Series A-1 Preferred Shares by such Holder, when issued, shall be deposited by the Company with the Depositary or its nominee for delivery of ADSs.</w:t>
      </w:r>
    </w:p>
    <w:p>
      <w:pPr>
        <w:spacing w:after="0" w:line="94"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Conversion Amount means the sum of (i) the portion of the stated value, meaning US$1,072.80 per Series A-1 Preferred Share, to be converted, (ii) the accrued and unpaid dividends with respect to such stated value, if any and (iii) accrued and unpaid late charges, if any, with respect to such stated value and dividends. Conversion Price means, as of any conversion date or other date of determination, the lower of</w:t>
      </w:r>
    </w:p>
    <w:p>
      <w:pPr>
        <w:spacing w:after="0" w:line="3" w:lineRule="exact"/>
        <w:rPr>
          <w:sz w:val="20"/>
          <w:szCs w:val="20"/>
          <w:color w:val="auto"/>
        </w:rPr>
      </w:pPr>
    </w:p>
    <w:p>
      <w:pPr>
        <w:ind w:left="1260" w:right="419"/>
        <w:spacing w:after="0" w:line="255" w:lineRule="auto"/>
        <w:tabs>
          <w:tab w:leader="none" w:pos="14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(the “Fixed Conversion Price”), and (ii) 92.50% of the lowest daily Weighted Average Prices of the ADSs during the five (5) consecutive trading day period immediately preceding the applicable conversion date, subject to adjustments as provided in the Certificate of Designations.</w:t>
      </w:r>
    </w:p>
    <w:p>
      <w:pPr>
        <w:spacing w:after="0" w:line="11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No holder shall have the right to any Class A Ordinary Shares otherwise issuable and such issuance shall be null and void and treated as if never made, to the extent that after giving effect to such issuance, such holder together with its other attribution parties collectively would beneficially own in excess of 4.99% or 9.99%, as such holder shall have indicated in the Securities Purchase Agreement or as any subsequent transferee of Series A-1 Preferred Shares indicates in a written notice to the Company, (the “Maximum Percentage”) of the Class A Ordinary Shares issued and outstanding immediately after giving effect to such issuance, such Maximum Percentage to be set by each Buyer as to such Buyer and its other attribution parties.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Triggering Events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events shall constitute a “Triggering Event” and each of the events in clauses</w:t>
      </w:r>
    </w:p>
    <w:p>
      <w:pPr>
        <w:spacing w:after="0" w:line="27" w:lineRule="exact"/>
        <w:rPr>
          <w:sz w:val="20"/>
          <w:szCs w:val="20"/>
          <w:color w:val="auto"/>
        </w:rPr>
      </w:pPr>
    </w:p>
    <w:p>
      <w:pPr>
        <w:ind w:left="1640" w:hanging="380"/>
        <w:spacing w:after="0"/>
        <w:tabs>
          <w:tab w:leader="none" w:pos="1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(vii) shall also constitute a “Bankruptcy Triggering Event”:</w:t>
      </w:r>
    </w:p>
    <w:p>
      <w:pPr>
        <w:spacing w:after="0" w:line="139" w:lineRule="exact"/>
        <w:rPr>
          <w:rFonts w:ascii="Times New Roman" w:cs="Times New Roman" w:eastAsia="Times New Roman" w:hAnsi="Times New Roman"/>
          <w:sz w:val="18"/>
          <w:szCs w:val="18"/>
          <w:color w:val="auto"/>
        </w:rPr>
      </w:pPr>
    </w:p>
    <w:p>
      <w:pPr>
        <w:ind w:left="2060" w:right="499" w:hanging="440"/>
        <w:spacing w:after="0" w:line="266"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suspension of the ADSs from trading on an Eligible Market for a period of five (5) consecutive Trading Days or for more than an aggregate of ten (10) Trading Days in any 365-day period or (B) the failure of the ADSs to be listed on an Eligible Market;</w:t>
      </w:r>
    </w:p>
    <w:p>
      <w:pPr>
        <w:spacing w:after="0" w:line="108" w:lineRule="exact"/>
        <w:rPr>
          <w:rFonts w:ascii="Times New Roman" w:cs="Times New Roman" w:eastAsia="Times New Roman" w:hAnsi="Times New Roman"/>
          <w:sz w:val="18"/>
          <w:szCs w:val="18"/>
          <w:color w:val="auto"/>
        </w:rPr>
      </w:pPr>
    </w:p>
    <w:p>
      <w:pPr>
        <w:ind w:left="2060" w:right="459" w:hanging="440"/>
        <w:spacing w:after="0" w:line="256"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ADSs within ten (10) Business Days after the applicable Conversion Date or (B) written notice to any Holder, including by way of public announcement, or through any of its agents, at any time, of its intention not to comply with a request for conversion of any Series A-1 Preferred Shares into ADSs that is tendered in accordance with the provisions of the Certificate of Designations, other than pursuant to the maximum percentage clause;</w:t>
      </w:r>
    </w:p>
    <w:p>
      <w:pPr>
        <w:spacing w:after="0" w:line="106" w:lineRule="exact"/>
        <w:rPr>
          <w:rFonts w:ascii="Times New Roman" w:cs="Times New Roman" w:eastAsia="Times New Roman" w:hAnsi="Times New Roman"/>
          <w:sz w:val="18"/>
          <w:szCs w:val="18"/>
          <w:color w:val="auto"/>
        </w:rPr>
      </w:pPr>
    </w:p>
    <w:p>
      <w:pPr>
        <w:ind w:left="2060" w:right="819" w:hanging="440"/>
        <w:spacing w:after="0" w:line="282"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tenth (10th) consecutive Business Day that the Holder’s authorized share allocation is less than the Holder’s pro rata amount of the required reserve amount;</w:t>
      </w:r>
    </w:p>
    <w:p>
      <w:pPr>
        <w:spacing w:after="0" w:line="94" w:lineRule="exact"/>
        <w:rPr>
          <w:rFonts w:ascii="Times New Roman" w:cs="Times New Roman" w:eastAsia="Times New Roman" w:hAnsi="Times New Roman"/>
          <w:sz w:val="18"/>
          <w:szCs w:val="18"/>
          <w:color w:val="auto"/>
        </w:rPr>
      </w:pPr>
    </w:p>
    <w:p>
      <w:pPr>
        <w:ind w:left="2060" w:right="459" w:hanging="440"/>
        <w:spacing w:after="0" w:line="258"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such Holder any amount of Stated Value, dividends, Late Charges, Redemption Price or other amounts when and as due under this Certificate of Designations or any other Transaction Document, except, in the case of a failure to pay dividends and/or Late Charges when and as due, in which case only if such failure continues for a period of at least an aggregate of ten (10) Business Days;</w:t>
      </w:r>
    </w:p>
    <w:p>
      <w:pPr>
        <w:spacing w:after="0" w:line="115" w:lineRule="exact"/>
        <w:rPr>
          <w:rFonts w:ascii="Times New Roman" w:cs="Times New Roman" w:eastAsia="Times New Roman" w:hAnsi="Times New Roman"/>
          <w:sz w:val="18"/>
          <w:szCs w:val="18"/>
          <w:color w:val="auto"/>
        </w:rPr>
      </w:pPr>
    </w:p>
    <w:p>
      <w:pPr>
        <w:ind w:left="2060" w:right="419" w:hanging="440"/>
        <w:spacing w:after="0" w:line="261"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with respect to any Indebtedness of the Company or any of its Subsidiaries having an outstanding principal amount of $25,000,000 or more, (a) an event of default that has caused the holders thereof to declare such Indebtedness to be due and payable prior to its stated maturity and/or (b) the failure to make a principal payment when due;</w:t>
      </w:r>
    </w:p>
    <w:p>
      <w:pPr>
        <w:spacing w:after="0" w:line="98" w:lineRule="exact"/>
        <w:rPr>
          <w:rFonts w:ascii="Times New Roman" w:cs="Times New Roman" w:eastAsia="Times New Roman" w:hAnsi="Times New Roman"/>
          <w:sz w:val="18"/>
          <w:szCs w:val="18"/>
          <w:color w:val="auto"/>
        </w:rPr>
      </w:pPr>
    </w:p>
    <w:p>
      <w:pPr>
        <w:ind w:left="2060" w:right="479" w:hanging="440"/>
        <w:spacing w:after="0" w:line="256" w:lineRule="auto"/>
        <w:tabs>
          <w:tab w:leader="none" w:pos="2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Title 11, U.S. Code, or any similar federal, foreign or state law for the relief of debtors (collectively, “Bankruptcy Law”), (A) commences a voluntary case, (B) consents to the entry of an order for relief against it in an involuntary case, (C) consents to the appointment of a receiver, trustee, assignee, liquidator or similar official (a “Custodian”), (D) makes a general assignment for the benefit of its creditors or (E) admits in writing that it is generally unable to pay its debts as they become due;</w:t>
      </w: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539" w:hanging="440"/>
        <w:spacing w:after="0" w:line="261"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(A) is for relief against the Company or any of its Significant Subsidiaries in an involuntary case,</w:t>
      </w:r>
    </w:p>
    <w:p>
      <w:pPr>
        <w:ind w:left="206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appoints a Custodian of the Company or any of its Significant Subsidiaries or (C) orders the liquidation of the Company or any of its Significant Subsidiaries, and such order or decree remains unstayed and in effect for 60 consecutive days;</w:t>
      </w:r>
    </w:p>
    <w:p>
      <w:pPr>
        <w:spacing w:after="0" w:line="118" w:lineRule="exact"/>
        <w:rPr>
          <w:rFonts w:ascii="Times New Roman" w:cs="Times New Roman" w:eastAsia="Times New Roman" w:hAnsi="Times New Roman"/>
          <w:sz w:val="18"/>
          <w:szCs w:val="18"/>
          <w:color w:val="auto"/>
        </w:rPr>
      </w:pPr>
    </w:p>
    <w:p>
      <w:pPr>
        <w:ind w:left="2060" w:right="459" w:hanging="440"/>
        <w:spacing w:after="0" w:line="253"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$25,000,000 are rendered against the Company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$5,000,000 amount set forth above so long as the Company provides the Holders a written statement from such insurer or indemnity provider (which written statement shall be reasonably satisfactory to the Holders) to the effect that such judgment is covered by insurance or an indemnity and the Company or such Subsidiary (as the case may be) will receive the proceeds of such insurance or indemnity within thirty (30) days of the issuance of such judgment;</w:t>
      </w:r>
    </w:p>
    <w:p>
      <w:pPr>
        <w:spacing w:after="0" w:line="342"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occurs;</w:t>
      </w:r>
    </w:p>
    <w:p>
      <w:pPr>
        <w:spacing w:after="0" w:line="157" w:lineRule="exact"/>
        <w:rPr>
          <w:rFonts w:ascii="Times New Roman" w:cs="Times New Roman" w:eastAsia="Times New Roman" w:hAnsi="Times New Roman"/>
          <w:sz w:val="18"/>
          <w:szCs w:val="18"/>
          <w:color w:val="auto"/>
        </w:rPr>
      </w:pPr>
    </w:p>
    <w:p>
      <w:pPr>
        <w:ind w:left="2060" w:right="1039" w:hanging="440"/>
        <w:spacing w:after="0" w:line="266"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breaches: (A) any negative covenant set forth in Section 15 of the Certificate of Designation, or (B) any of the covenants set forth Sections 4(b), (h), (j), (k) or (n) of the Securities Purchase Agreement; and</w:t>
      </w:r>
    </w:p>
    <w:p>
      <w:pPr>
        <w:spacing w:after="0" w:line="108" w:lineRule="exact"/>
        <w:rPr>
          <w:rFonts w:ascii="Times New Roman" w:cs="Times New Roman" w:eastAsia="Times New Roman" w:hAnsi="Times New Roman"/>
          <w:sz w:val="18"/>
          <w:szCs w:val="18"/>
          <w:color w:val="auto"/>
        </w:rPr>
      </w:pPr>
    </w:p>
    <w:p>
      <w:pPr>
        <w:ind w:left="2060" w:right="479" w:hanging="440"/>
        <w:spacing w:after="0" w:line="255"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breaches: (A) any affirmative covenant set forth in Section 16 of the Certificate of Designation, or (B) any of the covenants in Securities Purchase Agreement not enumerated in subsection (x) above, provided that any such breach would have a Material Adverse Effect and the Buyer shall be required to provide written notice to the Company of a Triggering Event under this section 6(x) and the Company shall have ten (10) days to cure, provided that the incident resulting in such breach would need to be disclosed in the Company’s filing with the SEC under the federal security laws.</w:t>
      </w:r>
    </w:p>
    <w:p>
      <w:pPr>
        <w:spacing w:after="0" w:line="10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Alternate Conversion. </w:t>
      </w:r>
      <w:r>
        <w:rPr>
          <w:rFonts w:ascii="Times New Roman" w:cs="Times New Roman" w:eastAsia="Times New Roman" w:hAnsi="Times New Roman"/>
          <w:sz w:val="18"/>
          <w:szCs w:val="18"/>
          <w:color w:val="auto"/>
        </w:rPr>
        <w:t>At any time a Triggering Event has occurred and is continuing,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at such Holder’s option, convert (each, an “Alternate Conversion”, and the date of such Alternate Conversion, each, an “Alternate Conversion Date”) all, or any part of, the applicable Conversion Amount (such portion of the Conversion Amount subject to such Alternate Conversion, each, an “Alternate Conversion Amount”) into Class A Ordinary Shares by dividing (x) the applicable Conversion Amount, by</w:t>
      </w:r>
    </w:p>
    <w:p>
      <w:pPr>
        <w:spacing w:after="0" w:line="1" w:lineRule="exact"/>
        <w:rPr>
          <w:sz w:val="20"/>
          <w:szCs w:val="20"/>
          <w:color w:val="auto"/>
        </w:rPr>
      </w:pPr>
    </w:p>
    <w:p>
      <w:pPr>
        <w:ind w:left="1260" w:right="439"/>
        <w:spacing w:after="0" w:line="251"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Conversion Price. Notwithstanding the foregoing, if the applicable Triggering Event giving rise to such Alternate Conversion has been cured or waived, such Holder shall not be entitled to the right of Alternate Conversion with respect to such Triggering Event that has been cured or waived. For the avoidance of doubt, the cure of any Triggering Event shall not affect any Alternate Conversions effected with respect to such Triggering Event prior to such cure. “Alternate Conversion Price” means, with respect to any Alternate Conversion, that price which shall be the lowest of (i) the applicable Conversion Price as in effect on the applicable Conversion Date of the applicable Alternate Conversion, (ii) 80% of the arithmetic average of the three (3) lowest daily Weighted Average Prices of the ADSs during the twenty (20) consecutive Trading Days immediately preceding the applicable Alternate Conversion Date, (iii) 80% of the Weighted Average Price of the ADSs on the applicable Alternate Conversion Date, (iv) 80% of the Weighted Average Price of the ADSs on the Trading Day immediately preceding the applicable Alternate Conversion Date and (v) 80% of the lowest daily Weighted Average Price of the ADSs during the twenty (20) consecutive Trading Days ending on the date of the first occurrence of the Triggering Event giving rise to the applicable Alternate Conversion, inclusive, less the issuance fee. All such determinations shall be appropriately adjusted for any share dividend, share split, share combination, reclassification or similar transaction that proportionately decreases or increases the ADSs or Class A Ordinary Shares during such period.</w:t>
      </w:r>
    </w:p>
    <w:p>
      <w:pPr>
        <w:spacing w:after="0" w:line="337"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Upon the occurrence of a Triggering Event, the Company shall within one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deliver written notice thereof via electronic mail (a “Triggering Event Notice”) to the Holders. At any time after the earlier of a Holder’s receipt of a Triggering Event Notice or a Holder becoming</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aware of a Triggering Event, such Holder may require the Company to redeem (an “Triggering Event Redemption”) all or any portion of such Holder’s Series A- 1 Preferred Shares by delivering written notice thereof (the “Triggering Event Redemption Notice”) to the Company, which Triggering Event Redemption Notice shall indicate the number of such Holder’s Series A-1 Preferred Shares that such Holder is electing to require the Company to redeem. Each Series A- 1 Preferred Share subject to redemption by the Company shall be redeemed by the Company in cash within five (5) Trading Days by wire transfer of immediately available funds at a price equal to 115% of the greater of (x) the Conversion Amount being redeemed and</w:t>
      </w:r>
    </w:p>
    <w:p>
      <w:pPr>
        <w:ind w:left="1520" w:hanging="26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Conversion Amount being redeemed and (B) the quotient determined by dividing</w:t>
      </w:r>
    </w:p>
    <w:p>
      <w:pPr>
        <w:jc w:val="both"/>
        <w:ind w:left="1260" w:right="11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greatest closing sale price of the ADSs during the period beginning on the date immediately preceding such Triggering Event and ending on the date such Holder delivers the Triggering Event Redemption Notice, by (II) the lowest Alternate Conversion Price in effect during such period (the “Triggering Event Redemption Price”).</w:t>
      </w:r>
    </w:p>
    <w:p>
      <w:pPr>
        <w:spacing w:after="0" w:line="115"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Redemption upon Bankruptcy Triggering Event</w:t>
      </w:r>
      <w:r>
        <w:rPr>
          <w:rFonts w:ascii="Times New Roman" w:cs="Times New Roman" w:eastAsia="Times New Roman" w:hAnsi="Times New Roman"/>
          <w:sz w:val="18"/>
          <w:szCs w:val="18"/>
          <w:color w:val="auto"/>
        </w:rPr>
        <w:t>. Upon any Bankruptcy Triggering Event occurring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or following to the Maturity Date, the Company shall immediately redeem, in cash, each of the Series A-1 Preferred Shares then outstanding at a redemption price equal to the applicable Triggering Event Redemption Price (calculated as if such Holder shall have delivered the Triggering Event Redemption Notice immediately prior to the occurrence of such Bankruptcy Triggering Event), without the requirement for any notice or demand or other action by any Holder or any other Person, provided that a Holder may, in its sole discretion, waive such right to receive payment upon a Bankruptcy Triggering Event, in whole or in part, and any such waiver shall not affect any other rights of such Holder or any other Holder under the Certificate of Designations, including any other rights in respect of such Bankruptcy Triggering Event, any right to conversion, and any right to payment of such Triggering Event Redemption Price to another Holder or any other Redemption Price, as applicable.</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Fundamental Transaction and Change of Control</w:t>
      </w:r>
    </w:p>
    <w:p>
      <w:pPr>
        <w:spacing w:after="0" w:line="146"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Fundamental Transaction means (i) that the Company shall,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including through subsidiaries, affiliates or otherwise, in one or more related transactions,</w:t>
      </w:r>
    </w:p>
    <w:p>
      <w:pPr>
        <w:spacing w:after="0" w:line="1" w:lineRule="exact"/>
        <w:rPr>
          <w:sz w:val="20"/>
          <w:szCs w:val="20"/>
          <w:color w:val="auto"/>
        </w:rPr>
      </w:pPr>
    </w:p>
    <w:p>
      <w:pPr>
        <w:ind w:left="1260" w:right="419"/>
        <w:spacing w:after="0" w:line="239" w:lineRule="auto"/>
        <w:tabs>
          <w:tab w:leader="none" w:pos="15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(whether or not the Company is the surviving corporation) another subject entity, or (b) sell, assign, transfer, convey or otherwise dispose of all or substantially all of the properties or assets of the Company or any of its “significant subsidiaries” (as​ defined in Rule 1-02 of Regulation S-X) to one or more subject entities, or (c) make, or allow one or more subject entities to make, or allow the Company to be subject to or have its Class A Ordinary Shares be subject to or party to one or more Subject Entities making, a purchase, tender or exchange offer that is accepted by the holders of at least either (1) 50% of the issued and outstanding Class A Ordinary Shares (2) 50% of the issued and outstanding Class A Ordinary Shares calculated as if any Class A Ordinary Shares held by all subject entities making or party to, or affiliated with any subject entities making or party to, such purchase, tender or exchange offer were not outstanding; or (3) such number of Class A Ordinary Shares such that all subject entities making or party to, or affiliated with any subject entity making or party to, such purchase, tender or exchange offer, become collectively the beneficial owners (as defined in Rule 13d-3 under the Exchange Act) of at least</w:t>
      </w:r>
    </w:p>
    <w:p>
      <w:pPr>
        <w:spacing w:after="0" w:line="8" w:lineRule="exact"/>
        <w:rPr>
          <w:rFonts w:ascii="Times New Roman" w:cs="Times New Roman" w:eastAsia="Times New Roman" w:hAnsi="Times New Roman"/>
          <w:sz w:val="18"/>
          <w:szCs w:val="18"/>
          <w:color w:val="auto"/>
        </w:rPr>
      </w:pPr>
    </w:p>
    <w:p>
      <w:pPr>
        <w:ind w:left="126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issued and outstanding Class A Ordinary Shares, or (d) consummate a share purchase agreement or other business combination (including, without limitation, a reorganization, recapitalization, spin-off or scheme of arrangement) with one or more subject entities whereby such subject entities, individually or in the aggregate, acquire, either (1) at least 50% of the issued and outstanding Class A Ordinary Shares, (2) at least 50% of the issued and outstanding Class A Ordinary Shares calculated as if any Class A Ordinary Shares held by all the subject entities making or party to, or affiliated with any subject entity making or party to, such share purchase agreement or other business combination were not outstanding; or (3) such number of Class A Ordinary Shares such that the subject entities become collectively the beneficial owners (as defined in Rule 13d-3 under the Exchange Act) of at least 50% of the issued and outstanding Class A Ordinary Shares, or (e) reorganize, recapitalize or reclassify its Class A Ordinary Shares, (ii)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issued and outstanding Class A Ordinary Shares, merger, consolidation, business combination, reorganization, recapitalization, spin-off, scheme of arrangement, reorganization, recapitalization or</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reclassification or otherwise in any manner whatsoever, of either (a) at least 50% of the aggregate ordinary voting power represented by issued and outstanding Class A Ordinary Shares, (b) at least 50% of the aggregate ordinary voting power represented by issued and outstanding Class A Ordinary Shares not held by all such subject entities as of the subscription date calculated as if any Class A Ordinary Shares held by all such subject entities were not outstanding, or (c) a percentage of the aggregate ordinary voting power represented by issued and outstanding Class A Ordinary Shares or other equity securities of the Company sufficient to allow such subject entities to effect a statutory short form merger or other transaction requiring other shareholders of the Company to surrender their Class A Ordinary Shares without approval of the shareholders of the Company or (iii) that the Company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For the avoidance of doubt, any references the intended treatment of such instrument or transaction. to Class A Ordinary Shares shall include the Class A Ordinary Shares underlying ADSs.</w:t>
      </w:r>
    </w:p>
    <w:p>
      <w:pPr>
        <w:spacing w:after="0" w:line="33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Company shall not enter into or be party to a Fundamental Transaction unless the successor entity assumes in writing all of the obligations of the Company under the Certificate of Designations and the other Transaction Documents pursuant to written agreements in form and substance reasonably satisfactory to the required holders and approved by the required holders prior to such fundamental transaction, including agreements to deliver to each Holder in exchange for such Holder’s Series A-1 Preferred Shares a security of the Successor Entity evidenced by a written instrument substantially similar in form and substance to the Certificate of Designations including, without limitation, having a stated value equal to the stated value and having similar conversion rights, dividend rights and ranking to the Series A-1 Preferred Shares, and reasonably satisfactory to the Required Holders.</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Corporate Events</w:t>
      </w:r>
      <w:r>
        <w:rPr>
          <w:rFonts w:ascii="Times New Roman" w:cs="Times New Roman" w:eastAsia="Times New Roman" w:hAnsi="Times New Roman"/>
          <w:sz w:val="18"/>
          <w:szCs w:val="18"/>
          <w:color w:val="auto"/>
        </w:rPr>
        <w:t>. Prior to the occurrence or consummation of any Fundamental Transaction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holders of ADSs or Class A Ordinary Shares are entitled to receive securities, cash, assets or other property with respect to or in exchange for Class A Ordinary Shares (a “Corporate Event”), the Company shall make appropriate provision to ensure that, and any applicable Successor Entity or Successor Entities shall ensure that such Holder will thereafter have the right to receive at its option upon surrender of such Holder’s Series A-1 Preferred Shares upon the occurrence or consummation of the Corporate Event, in lieu of the Class A Ordinary Shares (or other securities, cash, assets or other property) such Holder is entitled to receive upon the conversion of such Holder’s Series A-1 Preferred Shares prior to such Corporate Event, such shares, securities, cash, assets or any other property whatsoever (including warrants or other purchase or subscription rights and any ADSs or Class A Ordinary Shares) which the Holders would have been entitled to receive upon the occurrence or consummation of such Corporate Event or the record, eligibility or other determination date for the event resulting in such Corporate Event, had such Holder’s Series A-1 Preferred Shares been converted immediately prior to such Corporate Event or the record, eligibility or other determination date for the event resulting in such Corporate Event (without regard to any limitations on conversion, including without limitation, the Maximum Percentage) (provided, however, to the extent that a Holder’s right to receive any such shares of publicly traded common shares (or their equivalent) of the successor entity would result in such Holder and its other attribution parties exceeding the Maximum Percentage, then such Holder shall not be entitled to receive such shares to such extent (and shall not be entitled to beneficial ownership of such shares of publicly traded shares (or their equivalent) of the Successor Entity as a result of such consideration to such extent) and the portion of such shares shall be held in abeyance for such Holder until such time or times, as its right thereto would not result in such Holder and its other attribution parties exceeding the Maximum Percentage, at which time or times such Holder shall be delivered such shares to the extent as if there had been no such limitation).</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Change of Control means any Fundamental Transaction other than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the ADSs or Class A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10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No sooner than twenty (20) days nor later than fifteen (15) days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a Change of Control, but not prior to the public announcement of such Change of Control, the Company shall deliver written notice thereof via electronic mail to the Holders (a “Change of Control Notice”). At any time during the period beginning on the earlier to occur of (x) any agreement by the Company or any of its Subsidiaries, upon consummation of which the transaction contemplated thereby would reasonably be expected to result in a Change of Control, (y) a Holder becoming aware of a Change of Control if the Change of Control Notice is not delivered to such Holder in accordance with the immediately preceding sentence (as applicable) and (z) a Holder’s receipt of a Change of Control Notice and ending twenty (20) Trading Days after the date of the consummation of such Change of Control, such Holder may require the Company to redeem (a “Change of Control Redemption”) all or any portion of such Holder’s Series A-1 Preferred Shares by delivering written notice thereof (“Change of Control Redemption Notice”) to the Company, which Change of Control Redemption Notice shall indicate the Conversion Amount such Holder is electing to require the Company to redeem. Each Series A-1 Preferred Share subject to redemption by the Company shall be redeemed by the Company in cash by wire transfer of immediately available funds at a price equal to the sum of (i) 115% of the greater of (x) the Conversion Amount being redeemed and</w:t>
      </w:r>
    </w:p>
    <w:p>
      <w:pPr>
        <w:spacing w:after="0" w:line="5" w:lineRule="exact"/>
        <w:rPr>
          <w:sz w:val="20"/>
          <w:szCs w:val="20"/>
          <w:color w:val="auto"/>
        </w:rPr>
      </w:pPr>
    </w:p>
    <w:p>
      <w:pPr>
        <w:ind w:left="1520" w:hanging="26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Conversion Amount being redeemed and (B) the quotient determined by dividing</w:t>
      </w:r>
    </w:p>
    <w:p>
      <w:pPr>
        <w:ind w:left="1260" w:right="5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greatest closing sale price of the ADSs divided by the ADS ratio during the period beginning on the date immediately preceding during the period beginning on the date immediately preceding the earlier to occur of (x) the consummation of the Change of Control and (y) the public announcement of such Change of Control and ending on the date such Holder delivers the Change of Control Redemption Notice, by (II) the lowest Conversion Price in effect during such period and (ii) any unpaid amounts owed to such Holder pursuant to any of the Transaction Documents (the “Change of Control Redemption Price”).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 Rights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at any time after the subscription date we grant, issue or sell any options, convertible securities or rights to purchase shares, warrants, securities or other property pro rata to the record holders of ADSs or Class A Ordinary Shares, then the holders of Series A-1 Preferred Shares will be entitled to acquire the aggregate purchase rights which such holder could have acquired if such holder had held the number of Class A Ordinary Shares (or ADSs corresponding to such Class A Ordinary Shares) acquirable upon complete conversion of the Series A-1 Preferred Shares (without taking into account any limitations or restrictions on the convertibility of the Series A-1 Preferred Shares and assuming for such purpose that the Series A-1 Preferred Shares were converted at the Alternate Conversion Price as of the applicable record date) immediately prior to the date on which a record is taken for the grant, issuance or sale of such purchase rights, or, if no such record is taken, the date as of which the record holders of ADSs or Class A Ordinary Shares are to be determined for the grant, issue or sale of such Purchase Rights, provided, however, that to the extent that a holder’s right to participate in any such purchase right would result in such holder and its other attribution parties exceeding the Maximum Percentage, then such holder shall not be entitled to participate in such purchase right to such extent and such purchase right to such extent shall be held in abeyance for such holder until such time or times as its right thereto would not result in such holder and its other attribution parties exceeding the Maximum Percentage, at which time or times such holder shall be granted such right.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If, at any time the applicable Issuance Date, the ratio of Total Indebtedness (as defined below) as of such time of determination to the quotient of (x) the sum of the market capitalization for each Trading Day during the ten (10) consecutive Trading Day period ending on, and including, the trading day immediately preceding the applicable date of determination, divided by (y) ten (10), is equal to or greater than 25% (a “DTM Failure”), the Company shall promptly, and in any event within two (2) Business Days of a DTM Failure, deliver written notice of such DTM Failure to each Holder. From and after the DTM Trigger Date, each Holder shall have the right, in its sole and absolute discretion, to require that the Company redeem (a “Holder DTM Redemption”) all or any portion of the Holder’s Pro Rata Amount of the Conversion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of ‘Series A-1 Preferred Shares as necessary (after giving effect to such Holder DTM Redemption by the Holders) to cause the ratio of Total Indebtedness as of such time of determination to the quotient of (x) the sum of the market capitalization for each trading day during the ten (10) consecutive trading day period ending on, and including, the trading day immediately preceding the applicable date of determination, divided by (y) ten (10), to equal 15% (each, an “Eligible DTM Redemption Amount”) by delivering written notice thereof (a “Holder DTM Redemption Notice” and the date such Holder delivers such notice to the Company, a “Holder DTM Redemption Notice Date”) to the Company which notice shall state (i) the number of Series A-1 Preferred Shares that is being redeemed by such Holder corresponding to a Conversion Amount that does not exceed such Holder’s Eligible DTM Redemption Amount, (ii) the date on which such Holder DTM Redemption shall occur which date shall be not less than five (5) Business Days from the applicable Holder DTM Redemption Notice Date (a “Holder DTM Redemption Date”) and (iii) the wire instructions for the payment of the applicable Holder DTM Redemption Price (as defined below) to such Holder. The portion of such Holder’s Series A-1 Preferred Shares subject to redemption shall be redeemed by the Company in cash at a price equal to the sum of (i) the Conversion Amount being redeemed, including, without limitation, any accrued and unpaid dividends on such Conversion Amount and any accrued and unpaid late charges on such Conversion Amount and dividends, if any, through the applicable Holder DTM Redemption Date and (ii) any unpaid amounts owed to such Holder pursuant to any of the Transaction Documents (a “Holder DTM Redemption Price”).</w:t>
      </w:r>
    </w:p>
    <w:p>
      <w:pPr>
        <w:spacing w:after="0" w:line="326"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“Total Indebtedness” means the sum of (x) all Indebtedness of the Company and/or any of its subsidiaries, as applicable, (y) the Conversion Amount of all Series A Preferred Shares and all Series A-1 Preferred Shares and (y) all trade payables and cash based obligations of the Company and/or any of its Subsidiaries, as applicable, in each case, outstanding as of the applicable date of determination; provided, however, that solely for purpose of this definition, Total Indebtedness (1) shall only include Indebtedness, trade payables and cash based obligations that bear interest or provide for an original issue discount or a redemption premium and (2) shall not include any customer pre-payments. “Indebtedness” means, without duplication (i) all indebtedness for borrowed money, (ii) all obligations issued, undertaken or assumed as the deferred purchase price of property or services, including (without limitation) “finance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finance lease, (vii) all Disqualified Equity Interests,</w:t>
      </w:r>
    </w:p>
    <w:p>
      <w:pPr>
        <w:spacing w:after="0" w:line="16" w:lineRule="exact"/>
        <w:rPr>
          <w:sz w:val="20"/>
          <w:szCs w:val="20"/>
          <w:color w:val="auto"/>
        </w:rPr>
      </w:pPr>
    </w:p>
    <w:p>
      <w:pPr>
        <w:ind w:left="1260" w:right="619"/>
        <w:spacing w:after="0"/>
        <w:tabs>
          <w:tab w:leader="none" w:pos="16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referred to in clauses (i) through (vii)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(ix) all Contingent Obligations in respect of indebtedness or obligations of others of the kinds referred to in clauses (i) through (vii) above. Indebtedness mentioned in clauses (i) and (iv) are referred to collectively as Financial Indebtedness.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Offer to Repurchase</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at any time while any Series A-1 Preferred Shares remain outstanding, an Offer to Repurchase Event is consummated or occurs, the Company shall deliver a written notice thereof within three (3) Business Days prior to the consummation or occurrence of such Offer to Repurchase Event to all Holders (the “Offer to Repurchase Notice”, and the date such notice is delivered to all Holders is referred to as the “Offer to Repurchase Notice Date”) and offer to repurchase (an “Offer to Repurchase) such Holder’s Series A-1 Preferred Shares in cash up to such Holder’s Pro Rata Amount of the applicable Available Cash (with respect to each Holder, the “Repurchase Amount”). The Offer to Repurchase shall offer to redeem Series A-1 Preferred Shares for cash up to the Holder’s Repurchase Amount at a price equal to the product obtained</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by multiplying (i) the Offer to Repurchase Event Redemption Premium and (ii) the greater of (x) the Conversion Amount being redeemed and (y) the product of (A) the Conversion Amount being redeemed and</w:t>
      </w:r>
    </w:p>
    <w:p>
      <w:pPr>
        <w:ind w:left="1260" w:right="419"/>
        <w:spacing w:after="0"/>
        <w:tabs>
          <w:tab w:leader="none" w:pos="15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determined by dividing (1) the greatest Closing Sale Price of the ADSs during the period beginning on the date immediately preceding the earlier to occur of (x) the consummation or occurrence of the applicable Offer to Repurchase Event and (y) the public announcement of such Offer to Repurchase Event and ending on the date such Holder delivers the related Acceptance Notice, by (II) the lowest Conversion Price in effect during such period (the “Offer to Repurchase Price”). At any time after the receipt by a Holder of an Offer to Repurchase Notice, such Holder may require the Company or its subsidiary, as applicable, to redeem, at the Offer to Repurchase Price, such Holder’s Series A-1 Preferred Shares for an amount not to exceed such Holder’s Repurchase Amount by delivering a written notice thereof (the “Acceptance Notice”) to the Company, which Acceptance Notice shall indicate the Conversion Amount of the Series A-1 Preferred Shares that such Holder is electing to redeem and the date chosen by such Holder on which the Offer to Repurchase shall occur (the “Offer to Repurchase Date”).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Redemptions</w:t>
      </w:r>
    </w:p>
    <w:p>
      <w:pPr>
        <w:spacing w:after="0" w:line="14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Mechanics</w:t>
      </w:r>
      <w:r>
        <w:rPr>
          <w:rFonts w:ascii="Times New Roman" w:cs="Times New Roman" w:eastAsia="Times New Roman" w:hAnsi="Times New Roman"/>
          <w:sz w:val="18"/>
          <w:szCs w:val="18"/>
          <w:color w:val="auto"/>
        </w:rPr>
        <w:t>. The Company shall deliver the applicable Triggering Event Redemption Price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within three (3) Business Days after the Company’s receipt of such Holder’s Triggering Event Redemption Notice; provided that upon a Bankruptcy Triggering Event, the Company shall deliver the applicable Bankruptcy Triggering Event Redemption Price (as applicable, the “Triggering Event Redemption Date”). If a Holder has submitted a Change of Control Redemption Notice, the Company shall deliver the applicable Change of Control Redemption Price to such Holder (i) concurrently with the consummation of such Change of Control if such notice is received prior to the consummation of such Change of Control and (ii) within three (3) Business Days after the Company’s receipt of such notice otherwise (such date, the “Change of Control Redemption Date”). The Company shall deliver the applicable Holder DTM Redemption Price to each Holder in cash on the applicable Holder DTM Redemption Date. The Company shall deliver the applicable Offer to Repurchase Redemption Price to each Holder in cash on the applicable Offer to Repurchase Redemption Date. The Company shall pay the applicable Redemption Price to the Holders in cash by wire transfer of immediately available funds pursuant to wire instructions provided by each of the Holders in writing to the Company on the applicable due date. In the event that the Company does not pay a Redemption Price to a Holder within the time period required, at any time thereafter and until the Company pays such unpaid Redemption Price in full, a Holder shall have the option, in lieu of redemption, to require the Company to promptly return to such Holder any or all of the Series A-1 Preferred Shares that were submitted for redemption by such Holder and for which the applicable Redemption Price has not been paid. Upon the Company’s receipt of such notice, (i) the applicable Redemption Notice of such Holder shall be null and void with respect to such Series A-1 Preferred Shares,</w:t>
      </w:r>
    </w:p>
    <w:p>
      <w:pPr>
        <w:spacing w:after="0" w:line="216" w:lineRule="exact"/>
        <w:rPr>
          <w:sz w:val="20"/>
          <w:szCs w:val="20"/>
          <w:color w:val="auto"/>
        </w:rPr>
      </w:pPr>
    </w:p>
    <w:p>
      <w:pPr>
        <w:ind w:left="1260" w:right="899"/>
        <w:spacing w:after="0" w:line="235" w:lineRule="auto"/>
        <w:tabs>
          <w:tab w:leader="none" w:pos="15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return any Series A-1 Preferred Shares, or issue new Series A-1 Preferred Share Certificates to such Holder representing such Conversion Amount to be redeemed and</w:t>
      </w:r>
    </w:p>
    <w:p>
      <w:pPr>
        <w:spacing w:after="0" w:line="1" w:lineRule="exact"/>
        <w:rPr>
          <w:rFonts w:ascii="Times New Roman" w:cs="Times New Roman" w:eastAsia="Times New Roman" w:hAnsi="Times New Roman"/>
          <w:sz w:val="18"/>
          <w:szCs w:val="18"/>
          <w:color w:val="auto"/>
        </w:rPr>
      </w:pPr>
    </w:p>
    <w:p>
      <w:pPr>
        <w:ind w:left="1260" w:right="459"/>
        <w:spacing w:after="0" w:line="242" w:lineRule="auto"/>
        <w:tabs>
          <w:tab w:leader="none" w:pos="15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of such returned or new Series A-1 Preferred Shares shall be adjusted to the lesser of (A) the Conversion Price as in effect on the date on which the applicable Redemption Notice is voided and (B) the lowest Closing Bid Price of the ADSs divided by the ADS ratio during the period beginning on and including the date on which the applicable Redemption Notice is delivered to the Company and ending on and including the date on which the applicable Redemption Notice is voided. A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Insufficient Assets</w:t>
      </w:r>
      <w:r>
        <w:rPr>
          <w:rFonts w:ascii="Times New Roman" w:cs="Times New Roman" w:eastAsia="Times New Roman" w:hAnsi="Times New Roman"/>
          <w:sz w:val="18"/>
          <w:szCs w:val="18"/>
          <w:color w:val="auto"/>
        </w:rPr>
        <w:t>. If upon a Redemption Date, the assets of the Company are insufficient to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number of Series A-1 Preferred Shares that it can redeem on such date pro rata among the Holders to be redeemed in proportion to the aggregate number of Series A-1 Preferred Shares outstanding on the applicable Redemption Date and</w:t>
      </w:r>
    </w:p>
    <w:p>
      <w:pPr>
        <w:spacing w:after="0" w:line="5" w:lineRule="exact"/>
        <w:rPr>
          <w:sz w:val="20"/>
          <w:szCs w:val="20"/>
          <w:color w:val="auto"/>
        </w:rPr>
      </w:pPr>
    </w:p>
    <w:p>
      <w:pPr>
        <w:ind w:left="1260" w:right="499"/>
        <w:spacing w:after="0" w:line="243" w:lineRule="auto"/>
        <w:tabs>
          <w:tab w:leader="none" w:pos="15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applicable Redemption Date, at any time and from time to time when additional assets of the Company become available to pay the balance of the applicable Redemption Price of the Series A-1 Preferred Shares, the Company shall use such assets, at the end of the then current fiscal quarter, to pay the balance of such Redemption Price of the Series A-1 Preferred Shares, or such portion thereof for which</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assets are then available, on the basis set forth above at the applicable Redemption Price, and such assets will not be used prior to the end of such fiscal quarter for any other purpose. Dividends on the stated value of the Series A-1 Preferred Shares that have not been redeemed shall continue to accrue until such time as the Company redeems the Series A-1 Preferred Shares. The Company shall pay to each Holder the applicable Redemption Price for each Series A- 1 Preferred Share without regard to the legal availability of funds unless expressly prohibited by applicable law or unless the payment of the applicable Redemption Price could reasonably be expected to result in personal liability to the directors of the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otherwise required by law, no voting rights are carried by the Series A-1 Preferred Shares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Negative Covenants</w:t>
      </w:r>
    </w:p>
    <w:p>
      <w:pPr>
        <w:spacing w:after="0" w:line="16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Until all of the Series A-1 Preferred Shares have been converted, redeemed or otherwise satisfied in full in accordance with their terms, the Company shall not, and shall not permit any of its Subsidiaries, without the prior written consent of the Required Holders, to directly or indirectly:</w:t>
      </w:r>
    </w:p>
    <w:p>
      <w:pPr>
        <w:spacing w:after="0" w:line="109" w:lineRule="exact"/>
        <w:rPr>
          <w:sz w:val="20"/>
          <w:szCs w:val="20"/>
          <w:color w:val="auto"/>
        </w:rPr>
      </w:pPr>
    </w:p>
    <w:p>
      <w:pPr>
        <w:ind w:left="2060" w:hanging="440"/>
        <w:spacing w:after="0"/>
        <w:tabs>
          <w:tab w:leader="none" w:pos="2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other than Permitted Indebtedness;</w:t>
      </w:r>
    </w:p>
    <w:p>
      <w:pPr>
        <w:spacing w:after="0" w:line="157" w:lineRule="exact"/>
        <w:rPr>
          <w:rFonts w:ascii="Times New Roman" w:cs="Times New Roman" w:eastAsia="Times New Roman" w:hAnsi="Times New Roman"/>
          <w:sz w:val="18"/>
          <w:szCs w:val="18"/>
          <w:color w:val="auto"/>
        </w:rPr>
      </w:pPr>
    </w:p>
    <w:p>
      <w:pPr>
        <w:ind w:left="2060" w:right="5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Indebtedness” means (i) trade payables incurred in the ordinary course of business consistent with past practice, (ii) Indebtedness incurred solely for the purpose of financing the acquisition or lease of equipment, (iii) the Indebtedness separately disclosed by Company to the Buyer, (iv) 5-year unsecured convertible bonds that include a fixed conversion price issued pursuant to Rule 144A, provided that the fixed conversion price for such bonds is not subject to being reset, and (v) Permitted Secured Indebtedness, provided, however, that in order for Permitted Secured Indebtedness to constitute Permitted Indebtedness, certain requirements listed in the Certificate of Designations need to be met.</w:t>
      </w:r>
    </w:p>
    <w:p>
      <w:pPr>
        <w:spacing w:after="0" w:line="118" w:lineRule="exact"/>
        <w:rPr>
          <w:rFonts w:ascii="Times New Roman" w:cs="Times New Roman" w:eastAsia="Times New Roman" w:hAnsi="Times New Roman"/>
          <w:sz w:val="18"/>
          <w:szCs w:val="18"/>
          <w:color w:val="auto"/>
        </w:rPr>
      </w:pPr>
    </w:p>
    <w:p>
      <w:pPr>
        <w:ind w:left="206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Secured Indebtedness” means Indebtedness incurred by the Company and/or any of its subsidiaries as borrower or guarantor under one or more asset-based credit facilities in an aggregate principal amount not to exceed US$50,000,000 outstanding at any time.</w:t>
      </w:r>
    </w:p>
    <w:p>
      <w:pPr>
        <w:spacing w:after="0" w:line="88" w:lineRule="exact"/>
        <w:rPr>
          <w:rFonts w:ascii="Times New Roman" w:cs="Times New Roman" w:eastAsia="Times New Roman" w:hAnsi="Times New Roman"/>
          <w:sz w:val="18"/>
          <w:szCs w:val="18"/>
          <w:color w:val="auto"/>
        </w:rPr>
      </w:pPr>
    </w:p>
    <w:p>
      <w:pPr>
        <w:ind w:left="2060" w:right="479" w:hanging="440"/>
        <w:spacing w:after="0" w:line="266" w:lineRule="auto"/>
        <w:tabs>
          <w:tab w:leader="none" w:pos="2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or suffer to exist any mortgage, lien, pledge, charge, security interest or other encumbrance (collectively, “Liens”) upon any property or assets owned by the Company or any of its Subsidiaries to secure Indebtedness other than Permitted Liens;</w:t>
      </w:r>
    </w:p>
    <w:p>
      <w:pPr>
        <w:spacing w:after="0" w:line="108" w:lineRule="exact"/>
        <w:rPr>
          <w:rFonts w:ascii="Times New Roman" w:cs="Times New Roman" w:eastAsia="Times New Roman" w:hAnsi="Times New Roman"/>
          <w:sz w:val="18"/>
          <w:szCs w:val="18"/>
          <w:color w:val="auto"/>
        </w:rPr>
      </w:pPr>
    </w:p>
    <w:p>
      <w:pPr>
        <w:ind w:left="20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639"/>
        <w:spacing w:after="0" w:line="261" w:lineRule="auto"/>
        <w:rPr>
          <w:sz w:val="20"/>
          <w:szCs w:val="20"/>
          <w:color w:val="auto"/>
        </w:rPr>
      </w:pPr>
      <w:r>
        <w:rPr>
          <w:rFonts w:ascii="Times New Roman" w:cs="Times New Roman" w:eastAsia="Times New Roman" w:hAnsi="Times New Roman"/>
          <w:sz w:val="18"/>
          <w:szCs w:val="18"/>
          <w:color w:val="auto"/>
        </w:rPr>
        <w:t>goods, (viii) Liens arising from judgments, decrees or attachments in circumstances not constituting a Triggering Event; (ix) Liens securing bitcoin mining machines that are subject to hosting agreements with third party vendors and (x) Liens securing Permitted Secured Indebtedness.</w:t>
      </w:r>
    </w:p>
    <w:p>
      <w:pPr>
        <w:spacing w:after="0" w:line="112" w:lineRule="exact"/>
        <w:rPr>
          <w:sz w:val="20"/>
          <w:szCs w:val="20"/>
          <w:color w:val="auto"/>
        </w:rPr>
      </w:pPr>
    </w:p>
    <w:p>
      <w:pPr>
        <w:ind w:left="2060" w:right="459" w:hanging="440"/>
        <w:spacing w:after="0" w:line="258" w:lineRule="auto"/>
        <w:tabs>
          <w:tab w:leader="none" w:pos="2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Series A-1 Preferred Shares in accordance with the terms of the Certificate of Designations, redeem or repurchase its equity interest (except (i) on a pro rata basis among all holders thereof and (ii) redemptions or repurchases of Equity Interests held by any current or former, officer, director, employee or consultant (or permitted transferees, estates or heirs of any of the foregoing) pursuant to any Approved Share Plan);</w:t>
      </w:r>
    </w:p>
    <w:p>
      <w:pPr>
        <w:spacing w:after="0" w:line="115" w:lineRule="exact"/>
        <w:rPr>
          <w:rFonts w:ascii="Times New Roman" w:cs="Times New Roman" w:eastAsia="Times New Roman" w:hAnsi="Times New Roman"/>
          <w:sz w:val="18"/>
          <w:szCs w:val="18"/>
          <w:color w:val="auto"/>
        </w:rPr>
      </w:pPr>
    </w:p>
    <w:p>
      <w:pPr>
        <w:ind w:left="2060" w:right="1139" w:hanging="440"/>
        <w:spacing w:after="0" w:line="266" w:lineRule="auto"/>
        <w:tabs>
          <w:tab w:leader="none" w:pos="2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Series A-1 Preferred Shares (other than as contemplated by the Securities Purchase Agreement), or issue any other securities that would cause a breach or default under the Certificate of Designations;</w:t>
      </w:r>
    </w:p>
    <w:p>
      <w:pPr>
        <w:spacing w:after="0" w:line="94" w:lineRule="exact"/>
        <w:rPr>
          <w:rFonts w:ascii="Times New Roman" w:cs="Times New Roman" w:eastAsia="Times New Roman" w:hAnsi="Times New Roman"/>
          <w:sz w:val="18"/>
          <w:szCs w:val="18"/>
          <w:color w:val="auto"/>
        </w:rPr>
      </w:pPr>
    </w:p>
    <w:p>
      <w:pPr>
        <w:ind w:left="2060" w:right="499" w:hanging="440"/>
        <w:spacing w:after="0" w:line="256" w:lineRule="auto"/>
        <w:tabs>
          <w:tab w:leader="none" w:pos="2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create (by reclassification or otherwise), or authorize the creation of, or issue or obligate itself to issue additional or other share capital of the Company or securities exchangeable for or convertible or exercisable into share capital of the Company whether such share capital is Pari Passu Shares or ranks senior to the Series A-1 Preferred Shares prior and in preference to the Series A-1 Preferred Shares in respect of the preferences as to distributions, the payment of dividends and payments upon a Liquidation Event;</w:t>
      </w:r>
    </w:p>
    <w:p>
      <w:pPr>
        <w:spacing w:after="0" w:line="119" w:lineRule="exact"/>
        <w:rPr>
          <w:rFonts w:ascii="Times New Roman" w:cs="Times New Roman" w:eastAsia="Times New Roman" w:hAnsi="Times New Roman"/>
          <w:sz w:val="18"/>
          <w:szCs w:val="18"/>
          <w:color w:val="auto"/>
        </w:rPr>
      </w:pPr>
    </w:p>
    <w:p>
      <w:pPr>
        <w:ind w:left="2060" w:right="619" w:hanging="440"/>
        <w:spacing w:after="0" w:line="256" w:lineRule="auto"/>
        <w:tabs>
          <w:tab w:leader="none" w:pos="2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insist upon, plead, or in any manner whatsoever claim or take the benefit or advantage of, any stay, extension or usury law (wherever or whenever enacted or in force) that may affect the covenants or the performance of the terms and conditions set forth in the Certificate of Designations or resort to any such law, to hinder, delay or impede the execution of any power granted to any Holder pursuant to the Certificate of Designations, but will suffer and permit the execution of every such power as though no such law has been enacted;</w:t>
      </w:r>
    </w:p>
    <w:p>
      <w:pPr>
        <w:spacing w:after="0" w:line="119" w:lineRule="exact"/>
        <w:rPr>
          <w:rFonts w:ascii="Times New Roman" w:cs="Times New Roman" w:eastAsia="Times New Roman" w:hAnsi="Times New Roman"/>
          <w:sz w:val="18"/>
          <w:szCs w:val="18"/>
          <w:color w:val="auto"/>
        </w:rPr>
      </w:pPr>
    </w:p>
    <w:p>
      <w:pPr>
        <w:ind w:left="2060" w:right="539" w:hanging="440"/>
        <w:spacing w:after="0" w:line="261" w:lineRule="auto"/>
        <w:tabs>
          <w:tab w:leader="none" w:pos="2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enter into an agreement to effect any Subsequent Placement involving a Variable Rate Transaction without the prior written consent of the Required Holders and the Holders shall be entitled to obtain injunctive relief against the Company and its Subsidiaries to preclude any such issuance, which remedy shall be in addition to any right to collect damages; or</w:t>
      </w:r>
    </w:p>
    <w:p>
      <w:pPr>
        <w:spacing w:after="0" w:line="98" w:lineRule="exact"/>
        <w:rPr>
          <w:rFonts w:ascii="Times New Roman" w:cs="Times New Roman" w:eastAsia="Times New Roman" w:hAnsi="Times New Roman"/>
          <w:sz w:val="18"/>
          <w:szCs w:val="18"/>
          <w:color w:val="auto"/>
        </w:rPr>
      </w:pPr>
    </w:p>
    <w:p>
      <w:pPr>
        <w:ind w:left="206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Placement” means any transaction (or series of related transactions) in which the Company or any subsidiary offers, sells, grants any option to purchase, or otherwise disposes of (or announces any offer, sale, grant or any option to purchase or other disposition of) any of its or any subsidiary’s debt, equity or equity equivalent securities, including without limitation any debt, preferred shares or other instrument or security that is, at any time during its life and under any circumstances, convertible into or exchangeable or exercisable for ADSs, Class A Ordinary Shares, options or convertible securities; provided, however, that the incurrence of Permitted Secured Indebtedness shall not constitute a Subsequent Placement.</w:t>
      </w:r>
    </w:p>
    <w:p>
      <w:pPr>
        <w:spacing w:after="0" w:line="124" w:lineRule="exact"/>
        <w:rPr>
          <w:rFonts w:ascii="Times New Roman" w:cs="Times New Roman" w:eastAsia="Times New Roman" w:hAnsi="Times New Roman"/>
          <w:sz w:val="18"/>
          <w:szCs w:val="18"/>
          <w:color w:val="auto"/>
        </w:rPr>
      </w:pPr>
    </w:p>
    <w:p>
      <w:pPr>
        <w:ind w:left="2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Rate Transaction” means a transaction in which the Company or any of its Subsidiaries</w:t>
      </w:r>
    </w:p>
    <w:p>
      <w:pPr>
        <w:spacing w:after="0" w:line="27" w:lineRule="exact"/>
        <w:rPr>
          <w:rFonts w:ascii="Times New Roman" w:cs="Times New Roman" w:eastAsia="Times New Roman" w:hAnsi="Times New Roman"/>
          <w:sz w:val="18"/>
          <w:szCs w:val="18"/>
          <w:color w:val="auto"/>
        </w:rPr>
      </w:pPr>
    </w:p>
    <w:p>
      <w:pPr>
        <w:ind w:left="206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issues or sells securities in an at-the-market, equity line of credit facility or similar agreement, other than pursuant to an ATM Offering, (ii) issues or sells any convertible securities or options either (A) at a conversion, exercise or exchange rate or other price that is based upon and/or varies with the trading prices of or quotations for the ADSs or Class A Ordinary Shares at any time after the initial issuance of such Convertible Securities or Options, or (B) with a conversion, exercise or exchange price that is subject to being reset at some future date after the initial issuance of such convertible securities or options or upon the occurrence of specified or contingent events directly or indirectly related to the business of the Company or the market for the ADSs or Class A Ordinary Shares, other than pursuant to a customary “weighted average” anti-dilution provision or (iii) enters into any agreement whereby the Company or any subsidiary may sell securities at a future determined price (other than standard and customary “preemptive” or “participation” rights); provided, however, that issuances of securities under an approved share plan shall not be deemed a Variable Rate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79"/>
        <w:spacing w:after="0" w:line="261" w:lineRule="auto"/>
        <w:rPr>
          <w:sz w:val="20"/>
          <w:szCs w:val="20"/>
          <w:color w:val="auto"/>
        </w:rPr>
      </w:pPr>
      <w:r>
        <w:rPr>
          <w:rFonts w:ascii="Times New Roman" w:cs="Times New Roman" w:eastAsia="Times New Roman" w:hAnsi="Times New Roman"/>
          <w:sz w:val="18"/>
          <w:szCs w:val="18"/>
          <w:color w:val="auto"/>
        </w:rPr>
        <w:t>“ATM Offering” means any at-the-market offering of ADSs, including any at-the-market offering made pursuant to (i) the Company’s currently effective Form F-3 Registration Statement (Reg No. 333-278762) or (ii) any other registration statement filed by the Company that may be declared effective in the future.</w:t>
      </w:r>
    </w:p>
    <w:p>
      <w:pPr>
        <w:spacing w:after="0" w:line="112" w:lineRule="exact"/>
        <w:rPr>
          <w:sz w:val="20"/>
          <w:szCs w:val="20"/>
          <w:color w:val="auto"/>
        </w:rPr>
      </w:pPr>
    </w:p>
    <w:p>
      <w:pPr>
        <w:ind w:left="2080" w:right="539"/>
        <w:spacing w:after="0" w:line="282" w:lineRule="auto"/>
        <w:rPr>
          <w:sz w:val="20"/>
          <w:szCs w:val="20"/>
          <w:color w:val="auto"/>
        </w:rPr>
      </w:pPr>
      <w:r>
        <w:rPr>
          <w:rFonts w:ascii="Times New Roman" w:cs="Times New Roman" w:eastAsia="Times New Roman" w:hAnsi="Times New Roman"/>
          <w:sz w:val="18"/>
          <w:szCs w:val="18"/>
          <w:color w:val="auto"/>
        </w:rPr>
        <w:t>“Required Holders” means the Holders representing at least a majority of the aggregate Series A Preferred Shares then outstanding and shall include the Buyer.</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guarantee or secure the indebtedness of any of its Significant Subsidiaries.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Affirmative Covenants</w:t>
      </w:r>
    </w:p>
    <w:p>
      <w:pPr>
        <w:spacing w:after="0" w:line="14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Until all of the Series A-1 Preferred Shares have been converted, redeemed or otherwise satisfied in full in accordance with their terms, the Company shall, and shall cause each significant subsidiary to, unless otherwise agreed to by the Required Holders:</w:t>
      </w:r>
    </w:p>
    <w:p>
      <w:pPr>
        <w:spacing w:after="0" w:line="108" w:lineRule="exact"/>
        <w:rPr>
          <w:sz w:val="20"/>
          <w:szCs w:val="20"/>
          <w:color w:val="auto"/>
        </w:rPr>
      </w:pPr>
    </w:p>
    <w:p>
      <w:pPr>
        <w:ind w:left="2060" w:right="479" w:hanging="440"/>
        <w:spacing w:after="0" w:line="258"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its existence, rights and privileges, and become or remain duly qualified and in good standing (where such concept is applicable) in each jurisdiction in which the character of the properties owned or leased by it or in which the transaction of its business makes such qualification necessary, except in the case that any such failure to so maintain, preserve or comply has not had and is not reasonably likely to have, a Material Adverse Effect;</w:t>
      </w:r>
    </w:p>
    <w:p>
      <w:pPr>
        <w:spacing w:after="0" w:line="115" w:lineRule="exact"/>
        <w:rPr>
          <w:rFonts w:ascii="Times New Roman" w:cs="Times New Roman" w:eastAsia="Times New Roman" w:hAnsi="Times New Roman"/>
          <w:sz w:val="18"/>
          <w:szCs w:val="18"/>
          <w:color w:val="auto"/>
        </w:rPr>
      </w:pPr>
    </w:p>
    <w:p>
      <w:pPr>
        <w:ind w:left="2060" w:right="459" w:hanging="440"/>
        <w:spacing w:after="0" w:line="256"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in the case that any such failure to so maintain, preserve or comply has not had, and is not reasonably likely to have, a Material Adverse Effect;</w:t>
      </w:r>
    </w:p>
    <w:p>
      <w:pPr>
        <w:spacing w:after="0" w:line="119" w:lineRule="exact"/>
        <w:rPr>
          <w:rFonts w:ascii="Times New Roman" w:cs="Times New Roman" w:eastAsia="Times New Roman" w:hAnsi="Times New Roman"/>
          <w:sz w:val="18"/>
          <w:szCs w:val="18"/>
          <w:color w:val="auto"/>
        </w:rPr>
      </w:pPr>
    </w:p>
    <w:p>
      <w:pPr>
        <w:ind w:left="2060" w:right="699" w:hanging="440"/>
        <w:spacing w:after="0" w:line="282"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 necessary or advisable to maintain all of the Intellectual Property rights that are necessary or material to the conduct of its business in full force and effect;</w:t>
      </w:r>
    </w:p>
    <w:p>
      <w:pPr>
        <w:spacing w:after="0" w:line="80" w:lineRule="exact"/>
        <w:rPr>
          <w:rFonts w:ascii="Times New Roman" w:cs="Times New Roman" w:eastAsia="Times New Roman" w:hAnsi="Times New Roman"/>
          <w:sz w:val="18"/>
          <w:szCs w:val="18"/>
          <w:color w:val="auto"/>
        </w:rPr>
      </w:pPr>
    </w:p>
    <w:p>
      <w:pPr>
        <w:ind w:left="2060" w:right="519" w:hanging="440"/>
        <w:spacing w:after="0" w:line="261"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or be covered by, insurance by insurers of recognized financial responsibility in such amounts and covering such losses and risks, including, but not limited to, directors and officers insurance coverage, as is adequate for the conduct of their respective businesses and the value of their respective properties and as is customary for companies engaged in similar businesses;</w:t>
      </w:r>
    </w:p>
    <w:p>
      <w:pPr>
        <w:spacing w:after="0" w:line="112" w:lineRule="exact"/>
        <w:rPr>
          <w:rFonts w:ascii="Times New Roman" w:cs="Times New Roman" w:eastAsia="Times New Roman" w:hAnsi="Times New Roman"/>
          <w:sz w:val="18"/>
          <w:szCs w:val="18"/>
          <w:color w:val="auto"/>
        </w:rPr>
      </w:pPr>
    </w:p>
    <w:p>
      <w:pPr>
        <w:ind w:left="2060" w:right="459" w:hanging="440"/>
        <w:spacing w:after="0" w:line="266"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engage an independent auditor to audit its financial statements that is registered with (and in compliance with the rules and regulations of) the Public Company Accounting Oversight Board;</w:t>
      </w:r>
    </w:p>
    <w:p>
      <w:pPr>
        <w:spacing w:after="0" w:line="108" w:lineRule="exact"/>
        <w:rPr>
          <w:rFonts w:ascii="Times New Roman" w:cs="Times New Roman" w:eastAsia="Times New Roman" w:hAnsi="Times New Roman"/>
          <w:sz w:val="18"/>
          <w:szCs w:val="18"/>
          <w:color w:val="auto"/>
        </w:rPr>
      </w:pPr>
    </w:p>
    <w:p>
      <w:pPr>
        <w:ind w:left="2060" w:right="459" w:hanging="440"/>
        <w:spacing w:after="0" w:line="254"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pay when due all taxes, fees or other charges of any nature whatsoever (together with any related interest or penalties)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Adverse Effect) and (y) file on or before the due date therefor all personal property tax returns (except where the failure to file would not, individually or in the aggregate, have a Material Adverse Effect); provided, however that the Company and its Subsidiaries may contest, in good faith and by appropriate proceedings, taxes for which they maintain adequate reserves therefor in accordance with GAAP;</w:t>
      </w:r>
    </w:p>
    <w:p>
      <w:pPr>
        <w:spacing w:after="0" w:line="107" w:lineRule="exact"/>
        <w:rPr>
          <w:rFonts w:ascii="Times New Roman" w:cs="Times New Roman" w:eastAsia="Times New Roman" w:hAnsi="Times New Roman"/>
          <w:sz w:val="18"/>
          <w:szCs w:val="18"/>
          <w:color w:val="auto"/>
        </w:rPr>
      </w:pPr>
    </w:p>
    <w:p>
      <w:pPr>
        <w:ind w:left="2060" w:right="959" w:hanging="440"/>
        <w:spacing w:after="0" w:line="282"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 all benefits or advantages of any stay, extension or usury law (wherever or whenever enacted or in force);</w:t>
      </w:r>
    </w:p>
    <w:p>
      <w:pPr>
        <w:spacing w:after="0" w:line="94" w:lineRule="exact"/>
        <w:rPr>
          <w:rFonts w:ascii="Times New Roman" w:cs="Times New Roman" w:eastAsia="Times New Roman" w:hAnsi="Times New Roman"/>
          <w:sz w:val="18"/>
          <w:szCs w:val="18"/>
          <w:color w:val="auto"/>
        </w:rPr>
      </w:pPr>
    </w:p>
    <w:p>
      <w:pPr>
        <w:ind w:left="2060" w:right="439" w:hanging="440"/>
        <w:spacing w:after="0" w:line="258" w:lineRule="auto"/>
        <w:tabs>
          <w:tab w:leader="none" w:pos="2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(i) on or prior to the date that is ninety (90) days immediately following the end of each Calendar Quarter following the first Issuance Date occurring under the Certificate of Designations , report in the Company’s Annual Report on Form 20-F or Report of Foreign Private Issuer on Form 6-K, the Company’s quarterly “cash operating expenses” (or​ other similar term) for the immediately preceding Calendar Quarter and (ii) maintain (on a</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060" w:right="599"/>
        <w:spacing w:after="0" w:line="258" w:lineRule="auto"/>
        <w:rPr>
          <w:sz w:val="20"/>
          <w:szCs w:val="20"/>
          <w:color w:val="auto"/>
        </w:rPr>
      </w:pPr>
      <w:r>
        <w:rPr>
          <w:rFonts w:ascii="Times New Roman" w:cs="Times New Roman" w:eastAsia="Times New Roman" w:hAnsi="Times New Roman"/>
          <w:sz w:val="18"/>
          <w:szCs w:val="18"/>
          <w:color w:val="auto"/>
        </w:rPr>
        <w:t>consolidated basis) at all times on deposit unrestricted cash in an aggregate amount equal to not less than such quarterly “cash operating expenses” ​(or other similar term) (the “Minimum Cash Reserve Requirement”);</w:t>
      </w:r>
    </w:p>
    <w:p>
      <w:pPr>
        <w:spacing w:after="0" w:line="102" w:lineRule="exact"/>
        <w:rPr>
          <w:sz w:val="20"/>
          <w:szCs w:val="20"/>
          <w:color w:val="auto"/>
        </w:rPr>
      </w:pPr>
    </w:p>
    <w:p>
      <w:pPr>
        <w:ind w:left="2060" w:right="519" w:hanging="440"/>
        <w:spacing w:after="0" w:line="275" w:lineRule="auto"/>
        <w:tabs>
          <w:tab w:leader="none" w:pos="2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notify the Holders in writing whenever a Triggering Event or DTM Failure occurs or whenever the Company fails to meet the Minimum Cash Reserve Requirement; and</w:t>
      </w:r>
    </w:p>
    <w:p>
      <w:pPr>
        <w:spacing w:after="0" w:line="308" w:lineRule="exact"/>
        <w:rPr>
          <w:rFonts w:ascii="Times New Roman" w:cs="Times New Roman" w:eastAsia="Times New Roman" w:hAnsi="Times New Roman"/>
          <w:sz w:val="18"/>
          <w:szCs w:val="18"/>
          <w:color w:val="auto"/>
        </w:rPr>
      </w:pPr>
    </w:p>
    <w:p>
      <w:pPr>
        <w:ind w:left="2060" w:right="439" w:hanging="440"/>
        <w:spacing w:after="0" w:line="258" w:lineRule="auto"/>
        <w:tabs>
          <w:tab w:leader="none" w:pos="2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elect to follow home country practice in lieu of any rules and regulations of the Principal Market (or other then applicable Eligible Market) that would limit the Company’s ability to effect the provisions of the Certificate of designations, including but not limited to shareholder approval rules related to the issuance of securities or adjustment of terms of the Certificate of Designations for the benefit of the Holders.</w:t>
      </w:r>
    </w:p>
    <w:p>
      <w:pPr>
        <w:spacing w:after="0" w:line="10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“Eligible Market” means the Principal Market, The New York Stock Exchange, The Nasdaq Capital Market, The Nasdaq Global Select Market, or the NYSE American.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to any other rights provided by law, except where the vote or written consent of the holders of a greater number of shares is required by law or by another provision of the Memorandum and Articles of Association, the affirmative vote at a general meeting duly called for such purpose or the written consent without a meeting of the Required Holders, voting together as a single class, and without requiring the vote of any other class, including without limitation, without requiring the vote of any class of Ordinary Shares, shall be required before the Company may: (a) amend or repeal any provision of, or add any provision to, the Memorandum and Articles of Association or bylaws,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A-1 Preferred Shares, regardless of whether any such action shall be by means of amendment to the Memorandum and Articles of Association or by merger, consolidation or otherwise;</w:t>
      </w:r>
    </w:p>
    <w:p>
      <w:pPr>
        <w:spacing w:after="0" w:line="2" w:lineRule="exact"/>
        <w:rPr>
          <w:sz w:val="20"/>
          <w:szCs w:val="20"/>
          <w:color w:val="auto"/>
        </w:rPr>
      </w:pPr>
    </w:p>
    <w:p>
      <w:pPr>
        <w:ind w:left="1520" w:hanging="260"/>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(other than by conversion) the authorized number of Series A-1 Preferred Shares; or</w:t>
      </w:r>
    </w:p>
    <w:p>
      <w:pPr>
        <w:spacing w:after="0" w:line="7" w:lineRule="exact"/>
        <w:rPr>
          <w:rFonts w:ascii="Times New Roman" w:cs="Times New Roman" w:eastAsia="Times New Roman" w:hAnsi="Times New Roman"/>
          <w:sz w:val="18"/>
          <w:szCs w:val="18"/>
          <w:color w:val="auto"/>
        </w:rPr>
      </w:pPr>
    </w:p>
    <w:p>
      <w:pPr>
        <w:ind w:left="1260" w:right="479"/>
        <w:spacing w:after="0"/>
        <w:tabs>
          <w:tab w:leader="none" w:pos="15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any provision of the Certificate of Designations with respect to the Series A-1 Preferred Shares. Any such amendment or waiver to the Certificate of Designations shall be binding on all Holders. No such amendment or waiver shall be effective to the extent that it applies to less than all of the Holders.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Certificate of Designations shall be construed and enforced in accordance with, and all questions concerning the construction, validity, interpretation and performance of the Certificate of Designations shall be governed by, the internal laws of the Cayman Islands, without giving effect to any choice of law or conflict of law provision or rule (whether of the Cayman Islands or any other jurisdictions) that would cause the application of the laws of any jurisdictions other than the Cayman Islands. The Company irrevocably submits to the exclusive jurisdiction of the courts of the Cayman Islands, for the adjudication of any dispute under or in connection with the Certificate of Designations or with any transaction contemplated thereby or discussed therein, and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irrevocably waives personal service of process and consents to process being served in any such suit, action or proceeding by mailing a copy thereof to such party at the address listed in the Securities Purchase Agreement and agrees that such service shall constitute good and sufficient service of process and notice thereof. Nothing contained in the Certificate of Designations shall be deemed to limit in any way any right to serve process in any manner permitted by law. Nothing contained in the Certificate of Designations shall be deemed or operate to preclude the Holders from bringing suit or taking other legal action against the Company in any other jurisdiction to collect on the Company’s obligations to the Holders, to realize on any collateral or any other security for such obligations, or to enforce a judgment or other court ruling in favor of the Holders. The Company irrevocably waives any right it may have, and agrees not to request, a jury trial for the adjudication of any dispute under hereunder or in connection with or arising out of the Certificate of Designations or any transaction contemplated thereby.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Cayman Islands, People’s Republic of China and United States federal income tax consequences relevant to an investment in the ADSs and ordinary shares. The discussion is not intended to be, nor should it be construed as, legal or tax advice to any particular prospective purchaser. The discussion is based on laws and relevant interpretations thereof in effect as of the date of this prospectus supplement,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the ADSs, ordinary shares and preferred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appreciations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the ADSs, ordinary shares and preferred shares will not be subject to taxation in the Cayman Islands and no withholding will be required on the payment of a dividend or capital to any holder of the ADSs and ordinary shares, nor will gains derived from the disposal of the ADSs and ordinary shares be subject to Cayman Islands income or corporation tax. There are no exchange control regulations or currency restrictions in the Cayman Islands.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In March 2007, the National People’s Congress of China enacted the Enterprise Income Tax Law, which became effective on January 1, 2008 and was revised on December 29, 2018. The Enterprise Income Tax Law provides that enterprises organized under the laws of jurisdictions outside China with their “de facto management bodies” located within China may be considered PRC resident enterprises and therefore subject to PRC enterprise income tax at the rate of 25% on their worldwide income. The Implementing Rules of the Enterprise Income Tax Law further define the term “de facto management body” as the management body that exercises substantial and overall management and control over the business, personnel, accounts and properties of an enterprise. While we do not consider our company or any of our overseas subsidiaries to be a PRC resident enterprise, there is a risk that the PRC tax authorities may deem our company or any of our overseas subsidiaries as a PRC resident enterprise since a substantial portion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10% withholding tax would be imposed on dividends we pay to our non-PRC enterprise shareholders and a 10% tax would be imposed with respect to gains derived by our non-PRC enterprise shareholders from transferring our shares or ADSs. Furthermore, dividends paid to individual investors who are non-PRC residents and any gain realized on the transfer of ADSs or ordinary shares by such investors may be subject to PRC tax at a rate of 20% (which in the case of dividends may be withheld at source). Any PRC tax liability may be reduced by an applicable tax treaty. However, it is unclear whether, if we are considered a PRC resident enterprise, holders of our shares or ADSs would be able to claim the benefit of income tax treaties or agreements entered into between China and other countries or areas.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the material United States federal income tax consequences of the purchase, ownership and disposition of the ADSs and ordinary shares as of the date hereof. This discussion deals only with ADSs and ordinary shares that are held as “capital assets” ​(generally, property held for investment) within the meaning of Section 1221 of the U.S. Internal Revenue Code of 1986, as amended, or the Code, by a United States Holder (as defined below).</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As used herein, the term “United States Holder” means a beneficial owner of ADSs or ordinary shares that is, for United States federal income tax purposes, any of the following:</w:t>
      </w:r>
    </w:p>
    <w:p>
      <w:pPr>
        <w:spacing w:after="0" w:line="40"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w:t>
      </w: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valid election in effect under applicable United States Treasury regulations to be treated as a United States person</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discussion is based upon provisions of the Code and U.S. Treasury regulations, rulings and judicial decisions thereunder as of the date hereof. Such authorities may be replaced, revoked or modified, possibly with retroactive effect, and which replacement, revocation, or modification could significantly affect the tax consequences described below. In addition, this discussion assumes that the deposit agreement, and all other related agreements, will be performed in accordance with their terms. We have not sought any ruling from the IRS with respect to the statements made and the conclusions reached in the following discussion and there can be no assurance that the IRS or a court will agree with our statements and conclusions.</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discussion does not represent a detailed description of all of the United States federal income tax consequences applicable to a United States Holder in light of individual circumstances, including if a United States Holder is subject to special tax rules such as:</w:t>
      </w:r>
    </w:p>
    <w:p>
      <w:pPr>
        <w:spacing w:after="0" w:line="82"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in stock, securities or currencies;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and certain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ADSs or ordinary shares as part of a hedging, integrated or conversion transaction, a constructive sale or a straddle;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elected the mark-to-market method of accounting for our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former citizen or resident of the United States subject to Section 877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subject to the United States anti-inversion rules;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owns or is deemed to own 10% or more of our total stock by vote or value;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 persons holding ordinary shares through such entities;</w:t>
      </w:r>
    </w:p>
    <w:p>
      <w:pPr>
        <w:spacing w:after="0" w:line="53" w:lineRule="exact"/>
        <w:rPr>
          <w:rFonts w:ascii="Times New Roman" w:cs="Times New Roman" w:eastAsia="Times New Roman" w:hAnsi="Times New Roman"/>
          <w:sz w:val="18"/>
          <w:szCs w:val="18"/>
          <w:color w:val="auto"/>
        </w:rPr>
      </w:pPr>
    </w:p>
    <w:p>
      <w:pPr>
        <w:jc w:val="both"/>
        <w:ind w:left="1800" w:right="4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ADSs or ordinary shares as a result of such income being recognized on an applicable financial statement;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ADSs or ordinary shares in connection with a permanent establishment or fixed base outside the United States;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United States dollar.</w:t>
      </w:r>
    </w:p>
    <w:p>
      <w:pPr>
        <w:spacing w:after="0" w:line="14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holds the ADSs or ordinary shares, the tax treatment of a partner will generally depend upon the status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the partner and the activities of the partnership. If the United States Holder is a partner of a partnership holding the ADSs or ordinary shares, such United States Holder should consult its tax advisors regarding the tax consequences of investing in and holding our ADSs or ordinary shares.</w:t>
      </w:r>
    </w:p>
    <w:p>
      <w:pPr>
        <w:spacing w:after="0" w:line="9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This discussion does not contain a detailed description of all the United States federal income tax consequences to United States Holders and does not address the Medicare tax on net investment income, any tax consequences arising in respect of the Foreign Account Tax Compliance Act, United States federal estate and gift taxes or the effects of any state, local or non-United States tax laws. United States Holders should consult their tax advisors concerning the particular United States federal tax consequences of the purchase, ownership and disposition of our ADSs or ordinary shares, as well as any consequences arising under the laws of any other taxing jurisdiction.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A United States Holder of our ADSs, for United States federal income tax purposes, should generally be treated as the owner of the underlying ordinary shares that are represented by such ADSs. Accordingly, deposits or withdrawals of ordinary shares for ADSs generally are not expected to be subject to United States federal income tax. The remainder of this discussion assumes that a United States Holder of the ADSs will be treated in this manner.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Subject to the discussion under “— Passive Foreign Investment Company” below, the gross amount of distributions on the ADSs or ordinary shares (including any amounts withheld to reflect PRC withholding taxes, as discussed above under “— People’s Republic of China Taxation”) will be taxable as dividends to the extent paid out of our current or accumulated earnings and profits, as determined under United States federal income tax principles. To the extent that the amount of any distribution exceeds our current and accumulated earnings and profits for a taxable year, the distribution will first be treated as a tax -free return of capital, causing a reduction in the tax basis of the ADSs or ordinary shares, and to the extent the amount of the distribution exceeds the United States Holder’s tax basis, the excess will be taxed as capital gain recognized on a sale or exchange. We do not, however, expect to determine our earnings and profits in accordance with United States federal income tax principles. Therefore, United States Holders should expect that any distribution paid will generally be treated as a dividend for United States federal income tax purposes. Such dividends will not be eligible for the dividends received deduction allowed to corporations under the Code.</w:t>
      </w:r>
    </w:p>
    <w:p>
      <w:pPr>
        <w:spacing w:after="0" w:line="33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With respect to non-corporate United States Holders, certain dividends received from a “qualified foreign corporation” may qualify for reduced rates of taxation applicable to “qualified dividend income”. A non-United States corporation (other than a corporation that is a PFIC for the taxable year in which the dividend is paid or the preceding taxable year) will generally be treated as a “qualified foreign corporation”</w:t>
      </w:r>
    </w:p>
    <w:p>
      <w:pPr>
        <w:spacing w:after="0" w:line="2" w:lineRule="exact"/>
        <w:rPr>
          <w:sz w:val="20"/>
          <w:szCs w:val="20"/>
          <w:color w:val="auto"/>
        </w:rPr>
      </w:pPr>
    </w:p>
    <w:p>
      <w:pPr>
        <w:ind w:left="1260" w:right="519"/>
        <w:spacing w:after="0" w:line="242" w:lineRule="auto"/>
        <w:tabs>
          <w:tab w:leader="none" w:pos="15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dividends paid by that corporation on shares (or ADSs backed by such shares) that are readily tradable on an established securities market in the United States or (b) if such non-United States corporation is eligible for the benefits of a qualifying income tax treaty with the United States that includes an exchange of information program.</w:t>
      </w:r>
    </w:p>
    <w:p>
      <w:pPr>
        <w:spacing w:after="0" w:line="11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Under a published IRS Notice, ordinary shares are considered to be readily tradable on an established securities market in the United States if they are listed on the Nasdaq Global Market, as our ADSs are. Thus, we believe, but cannot guarantee, that dividends we pay on the ADSs will meet the conditions required for these reduced tax rates. Since our ordinary shares are not listed on an established securities market in the United States, we do not believe that dividends that we pay on our ordinary shares that are not represented by ADSs currently meet the conditions required for these reduced tax rates. There also can be no assurance that the ADSs will be considered readily tradable on an established securities market in the United States in later years. A qualified foreign corporation also includes a foreign corporation that is eligible for the benefits of certain income tax treaties with the United States. In the event that we are deemed to be a PRC resident enterprise under the Enterprise Income Tax Law, we may be eligible for the benefits of the Agreement Between the Government of the United States of America and the Government of the People’s Republic of China for the Avoidance of Double Taxation and the Prevention of Tax Evasion With Respect to Taxes on Income, or the Treaty, and if we are eligible for such benefits, dividends we pay on our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6" w:lineRule="auto"/>
        <w:rPr>
          <w:sz w:val="20"/>
          <w:szCs w:val="20"/>
          <w:color w:val="auto"/>
        </w:rPr>
      </w:pPr>
      <w:r>
        <w:rPr>
          <w:rFonts w:ascii="Times New Roman" w:cs="Times New Roman" w:eastAsia="Times New Roman" w:hAnsi="Times New Roman"/>
          <w:sz w:val="18"/>
          <w:szCs w:val="18"/>
          <w:color w:val="auto"/>
        </w:rPr>
        <w:t>regardless of whether such shares are represented by ADSs, would be eligible for reduced rates of taxation, subject to applicable limitations. See “— People’s Republic of China Taxation” for further information on the Enterprise Income Tax Law.</w:t>
      </w:r>
    </w:p>
    <w:p>
      <w:pPr>
        <w:spacing w:after="0" w:line="10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our ADSs for more than</w:t>
      </w:r>
    </w:p>
    <w:p>
      <w:pPr>
        <w:ind w:left="1260" w:right="419"/>
        <w:spacing w:after="0" w:line="251" w:lineRule="auto"/>
        <w:tabs>
          <w:tab w:leader="none" w:pos="14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if the recipient of a dividend is obligated to make related payments with respect to positions in substantially similar or related property. This disallowance applies even if the minimum holding period has been met. Non-corporate United States Holders will not be eligible for reduced rates of taxation on any dividends received from us if we are a passive foreign investment company in the taxable year in which such dividends are paid or in the preceding taxable year. See “— Passive Foreign Investment Company” below.</w:t>
      </w:r>
    </w:p>
    <w:p>
      <w:pPr>
        <w:spacing w:after="0" w:line="12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Subject to the various limitations and disallowance rules that apply to foreign tax credits generally (including a minimum holding period requirement), any PRC withholding taxes on dividends may be treated as foreign taxes eligible for credit against a United States Holder’s United States federal income tax liability. For purposes of calculating the foreign tax credit, dividends paid on the ADSs or ordinary shares will be treated as income from sources outside the United States and will generally constitute passive category income. The rules governing the foreign tax credit are complex and recently issued Treasury Regulations have introduced additional requirements and limitations to the foreign tax credit rules.</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Each United States Holder should consult its tax advisors regarding the availability of the lower tax rates applicable to qualified dividend income for any dividends that we pay with respect to the ADSs or ordinary shares, as well as the effect of any change in applicable law after the date of this annual report on Form 20-F, and the availability of any foreign tax credit.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Based upon the market price of our ADSs, the value of our assets and the nature and composition of our income and assets, we do not believe that we were a PFIC for our taxable year ended December 31, 2023, although there can be no assurance in this regard. The IRS does not issue rulings with respect to PFIC status, and we cannot assure you that the IRS, or a court, will agree with any determination we make.</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 general, we will be a PFIC for any taxable year if, after applying the applicable look-through rules, either:</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(generally determined based on a quarterly average) of our assets is attributable to assets that produce or are held for the production of passive income.</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income equivalent to interest, royalties and rents (other than royalties and rents derived in the active conduct of a trade or business and not derived from a related person). Cash and cash equivalents, securities held for investment purposes and certain other similar assets are generally treated as an asset that produces or is held for the production of passive income. If we own at least 25% (by value) of the stock of another corporation, for purposes of determining whether we are a PFIC, we generally will be treated as owning our proportionate share of the other corporation’s assets and receiving our proportionate share of the other corporation’s income.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Accordingly, it is possible that we may become a PFIC in any future taxable year due to changes in our asset or income composition. Because we have valued our goodwill and other unbooked intangibles not reflected on our balance sheet based on the market value of the ADSs, a decrease in the price of the ADSs may also result in our becoming a PFIC. If we are a PFIC for any taxable year during which a United States Holder holds the ADSs or ordinary shares, such United States Holder will be subject to special tax rules discussed below.</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holds the ADSs or ordinary shares and absent certain elections (including a mark-to-market election, a qualified electing fund election and a deemed sale election, each as described below), such United States Holder will be subject to special tax rules with respect to any “excess distribution” received and any gain realized from a sale or other disposition, including a pledge, of ADSs or ordinary shares. Distributions received in a taxable year will be treated as excess distributions to the extent that they are greater than 125% of the average annual distributions received during the shorter of the three preceding taxable years or a United States Holder’s holding period in our ADSs or ordinary shares. Under these special tax rules:</w:t>
      </w:r>
    </w:p>
    <w:p>
      <w:pPr>
        <w:spacing w:after="0" w:line="84" w:lineRule="exact"/>
        <w:rPr>
          <w:sz w:val="20"/>
          <w:szCs w:val="20"/>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recognized gain will be allocated ratably over a United States Holder’s holding period for the ADSs or ordinary shares,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and/or recognized gain allocated to the current taxable year, and any taxable year prior to the first taxable year in which we were a PFIC, will be treated as ordinary income, and</w:t>
      </w:r>
    </w:p>
    <w:p>
      <w:pPr>
        <w:spacing w:after="0" w:line="67"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and/or recognized gain allocated to each other year will be subject to tax at the highest tax rate in effect for that year for individuals or corporations in the United States, as applicable, and the interest charge generally applicable to underpayments of tax will be imposed on the resulting tax attributable to each such year.</w:t>
      </w:r>
    </w:p>
    <w:p>
      <w:pPr>
        <w:spacing w:after="0" w:line="9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even if a United States Holder holds the ADSs or ordinary shares as capital assets.</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we are a PFIC with respect to a United States Holder for any taxable year during such United States Holder’s holding period for our ADSs or ordinary shares and any of our non-U.S. subsidiaries that are corporations (or other corporations in which we directly or indirectly own equity interests) is also a PFIC, such United States Holder would generally be treated as owning a proportionate amount (by value) of the shares of each such non-U.S. entity that is a PFIC (each such corporation, a lower tier PFIC) for purposes of the application of these rules. United States Holders are strongly encouraged to consult their tax advisors regarding the application of the PFIC rules to any of our lower tier PFICs.</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Deemed Sale Election</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in which a United States Holder holds the ADSs or ordinary shares (unless such United States Holder makes a valid mark-to-market election as discussed below), such United States Holder will generally be subject to the special tax rules described above for that year and for each subsequent year in which such United States Holder holds the ADSs or ordinary shares (even if we cease to be a PFIC in such subsequent years). However, if we cease to be a PFIC, a United States Holder can avoid the continuing impact of the PFIC rules by making a “deemed sale” election to recognize gain as if such United States Holder’s ADSs or ordinary shares had been sold for their fair market value on the last day of the last taxable year during which we were a PFIC and any gain from such deemed sale would be taxed as an “excess distribution” as described above. Any loss from the deemed sale is not recognized. After the deemed sale election, the United States Holder’s ADSs or ordinary shares with respect to which such election was made will not be treated as shares in a PFIC unless we subsequently become a PFIC. United States Holders are urged to consult their tax advisors about a deemed sale election.</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Mark-to-Market Election</w:t>
      </w:r>
    </w:p>
    <w:p>
      <w:pPr>
        <w:spacing w:after="0" w:line="14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As an alternative to the foregoing rules, a United States Holder of “marketable stock” in a PFIC may make a mark-to-market election with respect to such stock, provided that certain requirements are met. Our ADSs or ordinary shares generally will be treated as marketable stock if the ADSs or ordinary shares are regularly traded on a “qualified exchange or other market” ​(within the meaning of the applicable Treasury regulations). Our ADSs are currently listed on the Nasdaq Global Market which constitutes a qualified exchange, although there can be no assurance that the ADSs will be “regularly traded” for purposes of the mark-to-market election. Only the ADSs and not the ordinary shares are listed on the Nasdaq Global Market.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Consequently, if a United States Holder is a holder of our ordinary shares that are not represented by our ADSs, such United States Holder generally will not be eligible to make a mark-to-market election.</w:t>
      </w:r>
    </w:p>
    <w:p>
      <w:pPr>
        <w:spacing w:after="0" w:line="8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a United States Holder makes an effective mark-to-market election, for each taxable year that we are a PFIC, such United States Holder will include as ordinary income the excess of the fair market value of the ADSs held at the end of the taxable year over such United States Holder’s adjusted tax basis in the ADSs. A United States Holder will be entitled to deduct as an ordinary loss in each such taxable year the excess, if any, of its adjusted tax basis in the ADSs over their fair market value at the end of the taxable year, but only to the extent of the net amount previously included in income as a result of the mark-to-market election. A United States Holder’s adjusted tax basis in the ADSs will be increased by the amount of any income inclusion and decreased by the amount of any deductions under the mark-to-market rules. In addition, upon the sale or other disposition of our ADSs in a year that we are a PFIC, any gain will be treated as ordinary income and any loss will be treated as ordinary loss, but only to the extent of the net amount of previously included income as a result of the mark-to-market election.</w:t>
      </w:r>
    </w:p>
    <w:p>
      <w:pPr>
        <w:spacing w:after="0" w:line="121"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If a United States Holder makes a mark-to-market election, it will be effective for the taxable year for which the election is made and all subsequent taxable years unless the ADSs are no longer regularly traded on a qualified exchange or other market, or the Internal Revenue Service consents to the revocation of the election. If a United States Holder makes a valid mark-to-market election and we cease to be a PFIC, the United States Holder will not be required to take into account the mark-to-market gain or loss described above during any period for which we are not a PFIC. United States Holders are urged to consult their tax advisors about the availability of the mark-to-market election, and whether making the election would be advisable in light of such United States Holder’s particular circumstances.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Qualified Election Fund Election</w:t>
      </w:r>
    </w:p>
    <w:p>
      <w:pPr>
        <w:spacing w:after="0" w:line="14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some of the disadvantageous tax treatment described above by making a “qualified electing fund” election under Section 1295 of the Code. However, this option is not available to United States Holders because we do not intend to comply with the requirements necessary to permit United States Holders to make this election.</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Reporting Requirements</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For any taxable year for which we are a PFIC with respect to a United States Holder, such United States Holder will generally be required to file IRS Form 8621 regarding distributions received on our ADSs or ordinary shares and any gain realized on the disposition of our ADSs or ordinary shares, and certain United States Holders will be required to file an annual information return (also on IRS Form 8621) relating to their ownership of our ADSs or ordinary shares. Significant penalties are imposed for failure to file such form. United States Holders are urged to consult their tax advisors concerning the United States federal income tax consequences of holding ADSs or ordinary shares if we are a PFIC in any taxable year.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our ADSs or Ordinary Shares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For United States federal income tax purposes, a United States Holder generally will recognize taxable gain or loss on any sale, exchange or other taxable disposition of the ADSs or ordinary shares in an amount equal to the difference between the amount realized for the ADSs or ordinary shares and the United States Holder’s tax basis in the ADSs or ordinary shares. Subject to the discussion under “— Passive Foreign Investment Company” above, such gain or loss will generally be capital gain or loss and will generally be long -term capital gain or loss if such United States Holder has held the ADSs or ordinary shares for more than one year. Long-term capital gains of non-corporate United States Holders (including individuals) generally are eligible for reduced rates of taxation. The deductibility of capital losses may be subject to limitations. Any gain or loss recognized by a United States Holder will generally be treated as United States source gain or loss for foreign tax credit limitation purposes, which could limit the availability of foreign tax credits. However, if we are treated as a PRC resident enterprise for PRC tax purposes and PRC tax were imposed on any gain, and if a United States Holder is eligible for the benefits of the Treaty, such United States Holder may elect to treat such gain as PRC source gain under the Treaty for foreign tax credit purposes, subject to certain limitations. If such an election is made, the gain so treated will be treated as a separate</w:t>
      </w: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66" w:lineRule="auto"/>
        <w:rPr>
          <w:sz w:val="20"/>
          <w:szCs w:val="20"/>
          <w:color w:val="auto"/>
        </w:rPr>
      </w:pPr>
      <w:r>
        <w:rPr>
          <w:rFonts w:ascii="Times New Roman" w:cs="Times New Roman" w:eastAsia="Times New Roman" w:hAnsi="Times New Roman"/>
          <w:sz w:val="18"/>
          <w:szCs w:val="18"/>
          <w:color w:val="auto"/>
        </w:rPr>
        <w:t>class or “basket” of income for foreign tax credit purposes. United States Holders should consult their tax advisors regarding the proper treatment of gain or loss, as well as the availability of a foreign tax credit, in their particular circumstances.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will apply to dividends in respect of the ADSs or our ordinary shares and the proceeds from the sale, exchange or other disposition of the ADSs or our ordinary shares that are paid to a United States Holder within the United States (and in certain cases, outside the United States), unless a United States Holder is an exempt recipient. A backup withholding tax may apply to such payments if a United States Holder fails to provide a taxpayer identification number or certification of exempt status or fails to report in full dividend and interest income.</w:t>
      </w:r>
    </w:p>
    <w:p>
      <w:pPr>
        <w:spacing w:after="0" w:line="120"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United States Holder’s United States federal income tax liability provided the required information is timely furnished to the IRS.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Specified Foreign Financial Assets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United States Holders who are individuals and certain domestic entities generally will be required to submit certain information to the IRS with respect to their beneficial ownership of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This law also imposes penalties if a United States Holder is required to submit such information to the IRS and fails to do so. United States Holders are urged to consult their tax advisors regarding the potential reporting requirements that may be imposed with respect to ownership of our ADSs or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Kirkland &amp; Ellis International LLP, our special United States counsel, to the extent governed by the laws of the State of New York, and by Maples and Calder (Hong Kong) LLP., our special legal counsel as to the Cayman Islands law, to the extent governed by the laws of the Cayman Islands. Legal matters as to PRC law will be passed upon for us by Commerce &amp; Finance Law Offices, our counsel as to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Canaan Inc.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are currently subject to periodic reporting and other informational requirements of the Exchange Act, as applicable to foreign private issuers. Accordingly, we are required to file reports, including annual reports on Form 20-F, and other information with the SEC. You may read the registration statement, including the related exhibits and schedules, and any document we file with the SEC without charge at the SEC’s web site at http://www.sec.gov.</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not required under the Exchange Act to file periodic reports and financial statements with the SEC as frequently or as promptly as U.S. companies whose securities are registered under the Exchange Act. However, we are required to file with the SEC, within 120 days after the end of each fiscal year ending December 31, our Annual Report on Form 20-F containing financial statements which are examined and reported on, with an opinion expressed, by an independent registered public accounting firm. In accordance with the NASDAQ Listing Rules, as a foreign private issuer we are required to submit on a Form 6-K our interim balance sheet and income statement as of the end of the second quarter of each fiscal year.</w:t>
      </w:r>
    </w:p>
    <w:p>
      <w:pPr>
        <w:spacing w:after="0" w:line="324"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addition,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w:t>
      </w:r>
    </w:p>
    <w:p>
      <w:pPr>
        <w:spacing w:after="0" w:line="330" w:lineRule="exact"/>
        <w:rPr>
          <w:sz w:val="20"/>
          <w:szCs w:val="20"/>
          <w:color w:val="auto"/>
        </w:rPr>
      </w:pPr>
    </w:p>
    <w:p>
      <w:pPr>
        <w:jc w:val="both"/>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i w:val="1"/>
          <w:iCs w:val="1"/>
          <w:color w:val="auto"/>
        </w:rPr>
        <w:t>www.canaan-creative.com</w:t>
      </w:r>
      <w:r>
        <w:rPr>
          <w:rFonts w:ascii="Times New Roman" w:cs="Times New Roman" w:eastAsia="Times New Roman" w:hAnsi="Times New Roman"/>
          <w:sz w:val="18"/>
          <w:szCs w:val="18"/>
          <w:color w:val="auto"/>
        </w:rPr>
        <w:t>. The information contained on our websites is not a part of this prospectus supplement. Our agent for service of process in the United States is Cogency Global Inc., located at 122 East 42nd Street, 18th Floor, New York, New York 10168.</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and does not contain all the information in the registration statement. You will find additional information about us in the registration statement. Any statement made in this prospectus supplement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340"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hereby incorporate by reference into this prospectus supplement the following documents that we have filed with the SEC under the Exchange Act:</w:t>
      </w:r>
    </w:p>
    <w:p>
      <w:pPr>
        <w:spacing w:after="0" w:line="54" w:lineRule="exact"/>
        <w:rPr>
          <w:sz w:val="20"/>
          <w:szCs w:val="20"/>
          <w:color w:val="auto"/>
        </w:rPr>
      </w:pPr>
    </w:p>
    <w:p>
      <w:pPr>
        <w:ind w:left="1800" w:right="899" w:hanging="180"/>
        <w:spacing w:after="0" w:line="282" w:lineRule="auto"/>
        <w:tabs>
          <w:tab w:leader="none" w:pos="1800" w:val="left"/>
        </w:tabs>
        <w:numPr>
          <w:ilvl w:val="0"/>
          <w:numId w:val="36"/>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our Annual Report on Form 20-F for the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April 17, 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dated </w:t>
      </w:r>
      <w:hyperlink r:id="rId85">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EE"/>
          </w:rPr>
          <w:t>May 17, 2024</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800" w:right="579"/>
        <w:spacing w:after="0" w:line="260" w:lineRule="auto"/>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u w:val="single" w:color="auto"/>
            <w:color w:val="0000EE"/>
          </w:rPr>
          <w:t>August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0">
        <w:r>
          <w:rPr>
            <w:rFonts w:ascii="Times New Roman" w:cs="Times New Roman" w:eastAsia="Times New Roman" w:hAnsi="Times New Roman"/>
            <w:sz w:val="18"/>
            <w:szCs w:val="18"/>
            <w:u w:val="single" w:color="auto"/>
            <w:color w:val="0000EE"/>
          </w:rPr>
          <w:t>September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1">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November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November 19, 2024; and</w:t>
      </w:r>
    </w:p>
    <w:p>
      <w:pPr>
        <w:spacing w:after="0" w:line="73" w:lineRule="exact"/>
        <w:rPr>
          <w:rFonts w:ascii="Times New Roman" w:cs="Times New Roman" w:eastAsia="Times New Roman" w:hAnsi="Times New Roman"/>
          <w:sz w:val="18"/>
          <w:szCs w:val="18"/>
          <w:color w:val="0000EE"/>
        </w:rPr>
      </w:pPr>
    </w:p>
    <w:p>
      <w:pPr>
        <w:ind w:left="1800" w:right="559" w:hanging="180"/>
        <w:spacing w:after="0" w:line="261" w:lineRule="auto"/>
        <w:tabs>
          <w:tab w:leader="none" w:pos="1800" w:val="left"/>
        </w:tabs>
        <w:numPr>
          <w:ilvl w:val="0"/>
          <w:numId w:val="36"/>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the description of our securities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SEC on November 6, 2019</w:t>
        </w:r>
        <w:r>
          <w:rPr>
            <w:rFonts w:ascii="Times New Roman" w:cs="Times New Roman" w:eastAsia="Times New Roman" w:hAnsi="Times New Roman"/>
            <w:sz w:val="18"/>
            <w:szCs w:val="18"/>
            <w:color w:val="000000"/>
          </w:rPr>
          <w:t>, as updated by</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 xml:space="preserve">Exhibit 2.2 </w:t>
        </w:r>
      </w:hyperlink>
      <w:hyperlink r:id="rId94">
        <w:r>
          <w:rPr>
            <w:rFonts w:ascii="Times New Roman" w:cs="Times New Roman" w:eastAsia="Times New Roman" w:hAnsi="Times New Roman"/>
            <w:sz w:val="18"/>
            <w:szCs w:val="18"/>
            <w:color w:val="000000"/>
          </w:rPr>
          <w:t>to our Annual Report on Form 20-F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fiscal year ended December 31, 2019 filed with the SEC on April 15, 2020, and including any amendments or reports filed for purposes of updating such descriptions.</w:t>
      </w:r>
    </w:p>
    <w:p>
      <w:pPr>
        <w:spacing w:after="0" w:line="99" w:lineRule="exact"/>
        <w:rPr>
          <w:rFonts w:ascii="Times New Roman" w:cs="Times New Roman" w:eastAsia="Times New Roman" w:hAnsi="Times New Roman"/>
          <w:sz w:val="18"/>
          <w:szCs w:val="18"/>
          <w:color w:val="0000EE"/>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2023 contains a description of our business and audited consolidated financial statements with a report by our independent auditor. The consolidated financial statements are prepared and presented in accordance with U.S. GAAP.</w:t>
      </w:r>
    </w:p>
    <w:p>
      <w:pPr>
        <w:spacing w:after="0" w:line="108" w:lineRule="exact"/>
        <w:rPr>
          <w:rFonts w:ascii="Times New Roman" w:cs="Times New Roman" w:eastAsia="Times New Roman" w:hAnsi="Times New Roman"/>
          <w:sz w:val="18"/>
          <w:szCs w:val="18"/>
          <w:color w:val="0000EE"/>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20" w:lineRule="exact"/>
        <w:rPr>
          <w:rFonts w:ascii="Times New Roman" w:cs="Times New Roman" w:eastAsia="Times New Roman" w:hAnsi="Times New Roman"/>
          <w:sz w:val="18"/>
          <w:szCs w:val="18"/>
          <w:color w:val="0000EE"/>
        </w:rPr>
      </w:pPr>
    </w:p>
    <w:p>
      <w:pPr>
        <w:ind w:left="4900"/>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rFonts w:ascii="Times New Roman" w:cs="Times New Roman" w:eastAsia="Times New Roman" w:hAnsi="Times New Roman"/>
          <w:sz w:val="18"/>
          <w:szCs w:val="18"/>
          <w:color w:val="0000EE"/>
        </w:rPr>
      </w:pPr>
    </w:p>
    <w:p>
      <w:pPr>
        <w:ind w:left="4660" w:right="3359" w:hanging="502"/>
        <w:spacing w:after="0" w:line="250" w:lineRule="auto"/>
        <w:tabs>
          <w:tab w:leader="none" w:pos="43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Ayer Rajah Crescent #06-08 Singapore 139959</w:t>
      </w:r>
    </w:p>
    <w:p>
      <w:pPr>
        <w:ind w:left="4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+65 6305 6618</w:t>
      </w:r>
    </w:p>
    <w:p>
      <w:pPr>
        <w:spacing w:after="0" w:line="126" w:lineRule="exact"/>
        <w:rPr>
          <w:rFonts w:ascii="Times New Roman" w:cs="Times New Roman" w:eastAsia="Times New Roman" w:hAnsi="Times New Roman"/>
          <w:sz w:val="18"/>
          <w:szCs w:val="18"/>
          <w:color w:val="0000EE"/>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We have not authorized anyone to provide you with different information. We are not making any offer of these securities in any jurisdiction where the offer is not permitted. You should not assume that the information in this prospectus supplement is accurate as of any date other than the date on the front of those documents.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7"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61595</wp:posOffset>
            </wp:positionV>
            <wp:extent cx="960120" cy="316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96012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US$300,000,000</w:t>
      </w:r>
    </w:p>
    <w:p>
      <w:pPr>
        <w:spacing w:after="0" w:line="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Class A Ordinary Shares</w:t>
      </w:r>
    </w:p>
    <w:p>
      <w:pPr>
        <w:spacing w:after="0" w:line="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Preferred Shares</w:t>
      </w:r>
    </w:p>
    <w:p>
      <w:pPr>
        <w:ind w:left="498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Subscription Rights Units</w:t>
      </w:r>
    </w:p>
    <w:p>
      <w:pPr>
        <w:spacing w:after="0" w:line="6" w:lineRule="exact"/>
        <w:rPr>
          <w:sz w:val="20"/>
          <w:szCs w:val="20"/>
          <w:color w:val="auto"/>
        </w:rPr>
      </w:pPr>
    </w:p>
    <w:p>
      <w:pPr>
        <w:ind w:left="500" w:firstLine="360"/>
        <w:spacing w:after="0" w:line="211" w:lineRule="auto"/>
        <w:rPr>
          <w:sz w:val="20"/>
          <w:szCs w:val="20"/>
          <w:color w:val="auto"/>
        </w:rPr>
      </w:pPr>
      <w:r>
        <w:rPr>
          <w:rFonts w:ascii="Times New Roman" w:cs="Times New Roman" w:eastAsia="Times New Roman" w:hAnsi="Times New Roman"/>
          <w:sz w:val="14"/>
          <w:szCs w:val="14"/>
          <w:color w:val="auto"/>
        </w:rPr>
        <w:t>We may from time to time in one or more offerings offer and sell our preferred shares, warrants, subscription rights and/or units, debt securities, or Class A ordinary shares, including Class A ordinary shares represented by American depositary shares, or ADSs, with each ADS representing 15 Class A ordinary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shares.</w:t>
      </w:r>
    </w:p>
    <w:p>
      <w:pPr>
        <w:spacing w:after="0" w:line="11" w:lineRule="exact"/>
        <w:rPr>
          <w:sz w:val="20"/>
          <w:szCs w:val="20"/>
          <w:color w:val="auto"/>
        </w:rPr>
      </w:pPr>
    </w:p>
    <w:p>
      <w:pPr>
        <w:ind w:left="500" w:firstLine="360"/>
        <w:spacing w:after="0" w:line="213" w:lineRule="auto"/>
        <w:rPr>
          <w:sz w:val="20"/>
          <w:szCs w:val="20"/>
          <w:color w:val="auto"/>
        </w:rPr>
      </w:pPr>
      <w:r>
        <w:rPr>
          <w:rFonts w:ascii="Times New Roman" w:cs="Times New Roman" w:eastAsia="Times New Roman" w:hAnsi="Times New Roman"/>
          <w:sz w:val="14"/>
          <w:szCs w:val="14"/>
          <w:color w:val="auto"/>
        </w:rPr>
        <w:t>We will provide specific terms of any offered securities and offering in a supplement to this prospectus. Any prospectus supplement may also add, update, or change information contained in this prospectus. You should carefully read this prospectus and the applicable prospectus supplement as well as the documents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incorporated or deemed to be incorporated by reference in this prospectus before you purchase any of the securities offered hereby.</w:t>
      </w:r>
    </w:p>
    <w:p>
      <w:pPr>
        <w:spacing w:after="0" w:line="1" w:lineRule="exact"/>
        <w:rPr>
          <w:sz w:val="20"/>
          <w:szCs w:val="20"/>
          <w:color w:val="auto"/>
        </w:rPr>
      </w:pPr>
    </w:p>
    <w:p>
      <w:pPr>
        <w:jc w:val="center"/>
        <w:ind w:left="940" w:right="140"/>
        <w:spacing w:after="0" w:line="221" w:lineRule="auto"/>
        <w:rPr>
          <w:sz w:val="20"/>
          <w:szCs w:val="20"/>
          <w:color w:val="auto"/>
        </w:rPr>
      </w:pPr>
      <w:r>
        <w:rPr>
          <w:rFonts w:ascii="Times New Roman" w:cs="Times New Roman" w:eastAsia="Times New Roman" w:hAnsi="Times New Roman"/>
          <w:sz w:val="14"/>
          <w:szCs w:val="14"/>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w:t>
      </w:r>
    </w:p>
    <w:p>
      <w:pPr>
        <w:spacing w:after="0" w:line="1" w:lineRule="exact"/>
        <w:rPr>
          <w:sz w:val="20"/>
          <w:szCs w:val="20"/>
          <w:color w:val="auto"/>
        </w:rPr>
      </w:pPr>
    </w:p>
    <w:p>
      <w:pPr>
        <w:ind w:left="500" w:right="200"/>
        <w:spacing w:after="0" w:line="229" w:lineRule="auto"/>
        <w:rPr>
          <w:sz w:val="20"/>
          <w:szCs w:val="20"/>
          <w:color w:val="auto"/>
        </w:rPr>
      </w:pPr>
      <w:r>
        <w:rPr>
          <w:rFonts w:ascii="Times New Roman" w:cs="Times New Roman" w:eastAsia="Times New Roman" w:hAnsi="Times New Roman"/>
          <w:sz w:val="14"/>
          <w:szCs w:val="14"/>
          <w:color w:val="auto"/>
        </w:rPr>
        <w:t xml:space="preserve">them will be described in the applicable prospectus supplement. For a more complete description of the plan of distribution of these securities, see the section entitled “Plan of Distribution” beginning on page </w:t>
      </w:r>
      <w:r>
        <w:rPr>
          <w:rFonts w:ascii="Times New Roman" w:cs="Times New Roman" w:eastAsia="Times New Roman" w:hAnsi="Times New Roman"/>
          <w:sz w:val="14"/>
          <w:szCs w:val="14"/>
          <w:u w:val="single" w:color="auto"/>
          <w:color w:val="0000EE"/>
        </w:rPr>
        <w:t>49</w:t>
      </w:r>
      <w:r>
        <w:rPr>
          <w:rFonts w:ascii="Times New Roman" w:cs="Times New Roman" w:eastAsia="Times New Roman" w:hAnsi="Times New Roman"/>
          <w:sz w:val="14"/>
          <w:szCs w:val="14"/>
          <w:color w:val="auto"/>
        </w:rPr>
        <w:t xml:space="preserve"> of this prospectus.</w:t>
      </w:r>
    </w:p>
    <w:p>
      <w:pPr>
        <w:ind w:left="500" w:right="560" w:firstLine="360"/>
        <w:spacing w:after="0" w:line="233" w:lineRule="auto"/>
        <w:rPr>
          <w:sz w:val="20"/>
          <w:szCs w:val="20"/>
          <w:color w:val="auto"/>
        </w:rPr>
      </w:pPr>
      <w:r>
        <w:rPr>
          <w:rFonts w:ascii="Times New Roman" w:cs="Times New Roman" w:eastAsia="Times New Roman" w:hAnsi="Times New Roman"/>
          <w:sz w:val="14"/>
          <w:szCs w:val="14"/>
          <w:color w:val="auto"/>
        </w:rPr>
        <w:t>The ADSs are listed on the NASDAQ Global Market under the symbol “CAN.” On April 16, 2024, the last reported sale price of the ADSs on the NASDAQ Global Market was US$1.10 per ADS.</w:t>
      </w:r>
    </w:p>
    <w:p>
      <w:pPr>
        <w:spacing w:after="0" w:line="1" w:lineRule="exact"/>
        <w:rPr>
          <w:sz w:val="20"/>
          <w:szCs w:val="20"/>
          <w:color w:val="auto"/>
        </w:rPr>
      </w:pPr>
    </w:p>
    <w:p>
      <w:pPr>
        <w:ind w:left="500" w:right="480" w:firstLine="360"/>
        <w:spacing w:after="0" w:line="221" w:lineRule="auto"/>
        <w:rPr>
          <w:sz w:val="20"/>
          <w:szCs w:val="20"/>
          <w:color w:val="auto"/>
        </w:rPr>
      </w:pPr>
      <w:r>
        <w:rPr>
          <w:rFonts w:ascii="Times New Roman" w:cs="Times New Roman" w:eastAsia="Times New Roman" w:hAnsi="Times New Roman"/>
          <w:sz w:val="14"/>
          <w:szCs w:val="14"/>
          <w:color w:val="auto"/>
        </w:rPr>
        <w:t>As of the date of this prospectus, our issued and outstanding share capital consists of Class A ordinary shares,Class B ordinary shares and Series A Preferred Shares. Holders of Class A ordinary shares and Class B ordinary shares have the same rights except for voting and conversion rights. Except in</w:t>
      </w:r>
    </w:p>
    <w:p>
      <w:pPr>
        <w:spacing w:after="0" w:line="1" w:lineRule="exact"/>
        <w:rPr>
          <w:sz w:val="20"/>
          <w:szCs w:val="20"/>
          <w:color w:val="auto"/>
        </w:rPr>
      </w:pPr>
    </w:p>
    <w:p>
      <w:pPr>
        <w:ind w:left="500" w:right="200"/>
        <w:spacing w:after="0" w:line="211" w:lineRule="auto"/>
        <w:rPr>
          <w:sz w:val="20"/>
          <w:szCs w:val="20"/>
          <w:color w:val="auto"/>
        </w:rPr>
      </w:pPr>
      <w:r>
        <w:rPr>
          <w:rFonts w:ascii="Times New Roman" w:cs="Times New Roman" w:eastAsia="Times New Roman" w:hAnsi="Times New Roman"/>
          <w:sz w:val="14"/>
          <w:szCs w:val="14"/>
          <w:color w:val="auto"/>
        </w:rPr>
        <w:t>relation to the negative covenants, affirmative covenants and vote to change the terms of or issue Series A preferred shares as stipulated in the SPA, no voting rights are carried by the Series A Preferred Shares. In respect of matters requiring a shareholder vote, each Class A ordinary share will be entitled to one vote</w:t>
      </w:r>
    </w:p>
    <w:p>
      <w:pPr>
        <w:ind w:left="500"/>
        <w:spacing w:after="0" w:line="222" w:lineRule="auto"/>
        <w:rPr>
          <w:sz w:val="20"/>
          <w:szCs w:val="20"/>
          <w:color w:val="auto"/>
        </w:rPr>
      </w:pPr>
      <w:r>
        <w:rPr>
          <w:rFonts w:ascii="Times New Roman" w:cs="Times New Roman" w:eastAsia="Times New Roman" w:hAnsi="Times New Roman"/>
          <w:sz w:val="14"/>
          <w:szCs w:val="14"/>
          <w:color w:val="auto"/>
        </w:rPr>
        <w:t>and each Class B ordinary share will be entitled to 15 votes. Each Class B ordinary share is convertible into one class A ordinary share at any time by the holder</w:t>
      </w:r>
    </w:p>
    <w:p>
      <w:pPr>
        <w:ind w:left="500" w:right="120"/>
        <w:spacing w:after="0" w:line="211" w:lineRule="auto"/>
        <w:rPr>
          <w:sz w:val="20"/>
          <w:szCs w:val="20"/>
          <w:color w:val="auto"/>
        </w:rPr>
      </w:pPr>
      <w:r>
        <w:rPr>
          <w:rFonts w:ascii="Times New Roman" w:cs="Times New Roman" w:eastAsia="Times New Roman" w:hAnsi="Times New Roman"/>
          <w:sz w:val="14"/>
          <w:szCs w:val="14"/>
          <w:color w:val="auto"/>
        </w:rPr>
        <w:t>thereof. . At any time or times on or after the applicable issuance date, any holder of Series A Preferred Shares shall be entitled to convert any portion of the outstanding and unpaid conversion amount into fully paid and non-assessable Class A ordinary shares at the conversion rate that shall be deposited for delivery</w:t>
      </w:r>
    </w:p>
    <w:p>
      <w:pPr>
        <w:ind w:left="500"/>
        <w:spacing w:after="0" w:line="222" w:lineRule="auto"/>
        <w:rPr>
          <w:sz w:val="20"/>
          <w:szCs w:val="20"/>
          <w:color w:val="auto"/>
        </w:rPr>
      </w:pPr>
      <w:r>
        <w:rPr>
          <w:rFonts w:ascii="Times New Roman" w:cs="Times New Roman" w:eastAsia="Times New Roman" w:hAnsi="Times New Roman"/>
          <w:sz w:val="14"/>
          <w:szCs w:val="14"/>
          <w:color w:val="auto"/>
        </w:rPr>
        <w:t>of ADSs, subject to the terms and conditions of the deposit agreement. Conversion amount (the “Conversion Amount”) means the sum of (i) the portion of the</w:t>
      </w:r>
    </w:p>
    <w:p>
      <w:pPr>
        <w:ind w:left="500" w:right="20"/>
        <w:spacing w:after="0" w:line="211" w:lineRule="auto"/>
        <w:rPr>
          <w:sz w:val="20"/>
          <w:szCs w:val="20"/>
          <w:color w:val="auto"/>
        </w:rPr>
      </w:pPr>
      <w:r>
        <w:rPr>
          <w:rFonts w:ascii="Times New Roman" w:cs="Times New Roman" w:eastAsia="Times New Roman" w:hAnsi="Times New Roman"/>
          <w:sz w:val="14"/>
          <w:szCs w:val="14"/>
          <w:color w:val="auto"/>
        </w:rPr>
        <w:t>stated value, meaning US$1,072.80 per Series A Preferred Share, to be converted, (ii) the accrued and unpaid dividends with respect to such stated value, if any, and (iii) accrued and unpaid late charges with respect to such stated value, if any. Conversion price (the “Conversion Price”) means, as of any conversion date or</w:t>
      </w:r>
    </w:p>
    <w:p>
      <w:pPr>
        <w:ind w:left="500"/>
        <w:spacing w:after="0" w:line="222" w:lineRule="auto"/>
        <w:rPr>
          <w:sz w:val="20"/>
          <w:szCs w:val="20"/>
          <w:color w:val="auto"/>
        </w:rPr>
      </w:pPr>
      <w:r>
        <w:rPr>
          <w:rFonts w:ascii="Times New Roman" w:cs="Times New Roman" w:eastAsia="Times New Roman" w:hAnsi="Times New Roman"/>
          <w:sz w:val="14"/>
          <w:szCs w:val="14"/>
          <w:color w:val="auto"/>
        </w:rPr>
        <w:t>other date of determination, the lower of (i) 120% of the Weighted Average Price of the ADSs on the trading day immediately preceding the applicable issuance</w:t>
      </w:r>
    </w:p>
    <w:p>
      <w:pPr>
        <w:ind w:left="500" w:right="160"/>
        <w:spacing w:after="0" w:line="211" w:lineRule="auto"/>
        <w:rPr>
          <w:sz w:val="20"/>
          <w:szCs w:val="20"/>
          <w:color w:val="auto"/>
        </w:rPr>
      </w:pPr>
      <w:r>
        <w:rPr>
          <w:rFonts w:ascii="Times New Roman" w:cs="Times New Roman" w:eastAsia="Times New Roman" w:hAnsi="Times New Roman"/>
          <w:sz w:val="14"/>
          <w:szCs w:val="14"/>
          <w:color w:val="auto"/>
        </w:rPr>
        <w:t>date of the Series A Preferred Shares being converted, and (ii) 92.50% of the lowest daily Weighted Average Price of the ADSs during the five consecutive trading day period immediately preceding the applicable conversion date, subject to adjustment as provided in the Certificate of Designations, Preferences and</w:t>
      </w:r>
    </w:p>
    <w:p>
      <w:pPr>
        <w:ind w:left="500"/>
        <w:spacing w:after="0" w:line="222" w:lineRule="auto"/>
        <w:rPr>
          <w:sz w:val="20"/>
          <w:szCs w:val="20"/>
          <w:color w:val="auto"/>
        </w:rPr>
      </w:pPr>
      <w:r>
        <w:rPr>
          <w:rFonts w:ascii="Times New Roman" w:cs="Times New Roman" w:eastAsia="Times New Roman" w:hAnsi="Times New Roman"/>
          <w:sz w:val="14"/>
          <w:szCs w:val="14"/>
          <w:color w:val="auto"/>
        </w:rPr>
        <w:t>Rights. As used herein, “ADS ratio” means the number of Class A Ordinary Shares represented by one (1) ADS, which, as of the date hereof, equals fifteen (15).</w:t>
      </w:r>
    </w:p>
    <w:p>
      <w:pPr>
        <w:ind w:left="500" w:right="80"/>
        <w:spacing w:after="0" w:line="211" w:lineRule="auto"/>
        <w:rPr>
          <w:sz w:val="20"/>
          <w:szCs w:val="20"/>
          <w:color w:val="auto"/>
        </w:rPr>
      </w:pPr>
      <w:r>
        <w:rPr>
          <w:rFonts w:ascii="Times New Roman" w:cs="Times New Roman" w:eastAsia="Times New Roman" w:hAnsi="Times New Roman"/>
          <w:sz w:val="14"/>
          <w:szCs w:val="14"/>
          <w:color w:val="auto"/>
        </w:rPr>
        <w:t>No holder of Series A Preferred Shares shall have the right to any Class A ordinary shares (or ADSs on subsequent deposit thereof) otherwise issuable and such issuance shall be null and void and treated as if never made, to the extent that after giving effect to such issuance, such holder together with its other attribution</w:t>
      </w:r>
    </w:p>
    <w:p>
      <w:pPr>
        <w:ind w:left="500"/>
        <w:spacing w:after="0" w:line="222" w:lineRule="auto"/>
        <w:rPr>
          <w:sz w:val="20"/>
          <w:szCs w:val="20"/>
          <w:color w:val="auto"/>
        </w:rPr>
      </w:pPr>
      <w:r>
        <w:rPr>
          <w:rFonts w:ascii="Times New Roman" w:cs="Times New Roman" w:eastAsia="Times New Roman" w:hAnsi="Times New Roman"/>
          <w:sz w:val="14"/>
          <w:szCs w:val="14"/>
          <w:color w:val="auto"/>
        </w:rPr>
        <w:t>parties collectively would beneficially own in excess of 4.99% or 9.99%, as such holder shall have indicated in the Securities Purchase Agreement or as any</w:t>
      </w:r>
    </w:p>
    <w:p>
      <w:pPr>
        <w:ind w:left="500" w:right="260"/>
        <w:spacing w:after="0" w:line="211" w:lineRule="auto"/>
        <w:rPr>
          <w:sz w:val="20"/>
          <w:szCs w:val="20"/>
          <w:color w:val="auto"/>
        </w:rPr>
      </w:pPr>
      <w:r>
        <w:rPr>
          <w:rFonts w:ascii="Times New Roman" w:cs="Times New Roman" w:eastAsia="Times New Roman" w:hAnsi="Times New Roman"/>
          <w:sz w:val="14"/>
          <w:szCs w:val="14"/>
          <w:color w:val="auto"/>
        </w:rPr>
        <w:t>subsequent transferee of Series A Preferred Shares indicates in a written notice to the Company, (the “Maximum Percentage”) of the Class A ordinary shares issued and outstanding immediately after giving effect to such issuance, such Maximum Percentage to be set by each Buyer as to such Buyer and its other</w:t>
      </w:r>
    </w:p>
    <w:p>
      <w:pPr>
        <w:ind w:left="500" w:right="100"/>
        <w:spacing w:after="0" w:line="231" w:lineRule="auto"/>
        <w:rPr>
          <w:sz w:val="20"/>
          <w:szCs w:val="20"/>
          <w:color w:val="auto"/>
        </w:rPr>
      </w:pPr>
      <w:r>
        <w:rPr>
          <w:rFonts w:ascii="Times New Roman" w:cs="Times New Roman" w:eastAsia="Times New Roman" w:hAnsi="Times New Roman"/>
          <w:sz w:val="14"/>
          <w:szCs w:val="14"/>
          <w:color w:val="auto"/>
        </w:rPr>
        <w:t>attribution parties. The number of Class A ordinary shares, issuable upon conversion of Series A Preferred Shares, is indeterminate. Class A ordinary shares are not convertible into Class B ordinary shares under any circumstances. See “Description of Share Capital.”</w:t>
      </w:r>
    </w:p>
    <w:p>
      <w:pPr>
        <w:spacing w:after="0" w:line="1" w:lineRule="exact"/>
        <w:rPr>
          <w:sz w:val="20"/>
          <w:szCs w:val="20"/>
          <w:color w:val="auto"/>
        </w:rPr>
      </w:pPr>
    </w:p>
    <w:p>
      <w:pPr>
        <w:ind w:left="500" w:right="60" w:firstLine="360"/>
        <w:spacing w:after="0" w:line="221" w:lineRule="auto"/>
        <w:rPr>
          <w:sz w:val="20"/>
          <w:szCs w:val="20"/>
          <w:color w:val="auto"/>
        </w:rPr>
      </w:pPr>
      <w:r>
        <w:rPr>
          <w:rFonts w:ascii="Times New Roman" w:cs="Times New Roman" w:eastAsia="Times New Roman" w:hAnsi="Times New Roman"/>
          <w:sz w:val="14"/>
          <w:szCs w:val="14"/>
          <w:color w:val="auto"/>
        </w:rPr>
        <w:t>We are a Cayman Islands holding company and conduct all of our operations through our operating subsidiaries. Investors in the ADSs are not purchasing equity securities of our operating subsidiaries but instead are purchasing equity securities of a Cayman Islands holding company. We face various legal and</w:t>
      </w:r>
    </w:p>
    <w:p>
      <w:pPr>
        <w:spacing w:after="0" w:line="1" w:lineRule="exact"/>
        <w:rPr>
          <w:sz w:val="20"/>
          <w:szCs w:val="20"/>
          <w:color w:val="auto"/>
        </w:rPr>
      </w:pPr>
    </w:p>
    <w:p>
      <w:pPr>
        <w:jc w:val="both"/>
        <w:ind w:left="500" w:right="220"/>
        <w:spacing w:after="0" w:line="211" w:lineRule="auto"/>
        <w:rPr>
          <w:sz w:val="20"/>
          <w:szCs w:val="20"/>
          <w:color w:val="auto"/>
        </w:rPr>
      </w:pPr>
      <w:r>
        <w:rPr>
          <w:rFonts w:ascii="Times New Roman" w:cs="Times New Roman" w:eastAsia="Times New Roman" w:hAnsi="Times New Roman"/>
          <w:sz w:val="14"/>
          <w:szCs w:val="14"/>
          <w:color w:val="auto"/>
        </w:rPr>
        <w:t>operational risks and uncertainties associated with being based in or having a portion of our operations in China and the complex and evolving PRC laws and regulations. For example, we face risks associated with regulatory approvals on offerings conducted overseas and foreign investment in China- based issuers,</w:t>
      </w:r>
    </w:p>
    <w:p>
      <w:pPr>
        <w:ind w:left="500"/>
        <w:spacing w:after="0" w:line="211" w:lineRule="auto"/>
        <w:rPr>
          <w:sz w:val="20"/>
          <w:szCs w:val="20"/>
          <w:color w:val="auto"/>
        </w:rPr>
      </w:pPr>
      <w:r>
        <w:rPr>
          <w:rFonts w:ascii="Times New Roman" w:cs="Times New Roman" w:eastAsia="Times New Roman" w:hAnsi="Times New Roman"/>
          <w:sz w:val="14"/>
          <w:szCs w:val="14"/>
          <w:color w:val="auto"/>
        </w:rPr>
        <w:t>anti-monopoly regulatory actions, regulatory actions for virtual currency-related business activities and mining activities and oversight on cybersecurity and data privacy, which may negatively impact our ability to conduct certain businesses, access foreign investments, or list on foreign stock exchange. These risks could</w:t>
      </w:r>
    </w:p>
    <w:p>
      <w:pPr>
        <w:ind w:left="500"/>
        <w:spacing w:after="0" w:line="222" w:lineRule="auto"/>
        <w:rPr>
          <w:sz w:val="20"/>
          <w:szCs w:val="20"/>
          <w:color w:val="auto"/>
        </w:rPr>
      </w:pPr>
      <w:r>
        <w:rPr>
          <w:rFonts w:ascii="Times New Roman" w:cs="Times New Roman" w:eastAsia="Times New Roman" w:hAnsi="Times New Roman"/>
          <w:sz w:val="14"/>
          <w:szCs w:val="14"/>
          <w:color w:val="auto"/>
        </w:rPr>
        <w:t>result in a material adverse change in our operations and the value of our ADSs, significantly limit or completely hinder our ability to offer or continue to offer</w:t>
      </w:r>
    </w:p>
    <w:p>
      <w:pPr>
        <w:ind w:left="500" w:right="180"/>
        <w:spacing w:after="0" w:line="21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to investors, or cause the value of such securities to significantly decline or become worthless. For a detailed description of risks relating to doing </w:t>
      </w:r>
      <w:hyperlink r:id="rId32">
        <w:r>
          <w:rPr>
            <w:rFonts w:ascii="Times New Roman" w:cs="Times New Roman" w:eastAsia="Times New Roman" w:hAnsi="Times New Roman"/>
            <w:sz w:val="14"/>
            <w:szCs w:val="14"/>
            <w:color w:val="auto"/>
          </w:rPr>
          <w:t xml:space="preserve">business in China, see “Item 3. Key Information — 3.D. Risk Factors — Risks Relating to Doing Business in the PRC.” in our </w:t>
        </w:r>
        <w:r>
          <w:rPr>
            <w:rFonts w:ascii="Times New Roman" w:cs="Times New Roman" w:eastAsia="Times New Roman" w:hAnsi="Times New Roman"/>
            <w:sz w:val="14"/>
            <w:szCs w:val="14"/>
            <w:u w:val="single" w:color="auto"/>
            <w:color w:val="0000EE"/>
          </w:rPr>
          <w:t>annual report on Form 20-F for</w:t>
        </w:r>
      </w:hyperlink>
    </w:p>
    <w:p>
      <w:pPr>
        <w:ind w:left="500"/>
        <w:spacing w:after="0"/>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u w:val="single" w:color="auto"/>
            <w:color w:val="0000EE"/>
          </w:rPr>
          <w:t>the year ended December 31, 2023</w:t>
        </w:r>
        <w:r>
          <w:rPr>
            <w:rFonts w:ascii="Times New Roman" w:cs="Times New Roman" w:eastAsia="Times New Roman" w:hAnsi="Times New Roman"/>
            <w:sz w:val="14"/>
            <w:szCs w:val="14"/>
            <w:color w:val="000000"/>
          </w:rPr>
          <w:t>, which is incorporated by reference in this prospectus.</w:t>
        </w:r>
      </w:hyperlink>
    </w:p>
    <w:p>
      <w:pPr>
        <w:spacing w:after="0" w:line="11" w:lineRule="exact"/>
        <w:rPr>
          <w:sz w:val="20"/>
          <w:szCs w:val="20"/>
          <w:color w:val="auto"/>
        </w:rPr>
      </w:pPr>
    </w:p>
    <w:p>
      <w:pPr>
        <w:ind w:left="500" w:right="80" w:firstLine="360"/>
        <w:spacing w:after="0" w:line="213" w:lineRule="auto"/>
        <w:rPr>
          <w:sz w:val="20"/>
          <w:szCs w:val="20"/>
          <w:color w:val="auto"/>
        </w:rPr>
      </w:pPr>
      <w:r>
        <w:rPr>
          <w:rFonts w:ascii="Times New Roman" w:cs="Times New Roman" w:eastAsia="Times New Roman" w:hAnsi="Times New Roman"/>
          <w:sz w:val="14"/>
          <w:szCs w:val="14"/>
          <w:color w:val="auto"/>
        </w:rPr>
        <w:t>Our auditor, KPMG Huazhen LLP, is independent registered public accounting firms that issue the audit report included elsewhere in this prospectus. Our securities will be prohibited from trading on a national securities exchange or in the over-the-counter trading market in the United States under the Holding</w:t>
      </w:r>
    </w:p>
    <w:p>
      <w:pPr>
        <w:ind w:left="500"/>
        <w:spacing w:after="0" w:line="222" w:lineRule="auto"/>
        <w:rPr>
          <w:sz w:val="20"/>
          <w:szCs w:val="20"/>
          <w:color w:val="auto"/>
        </w:rPr>
      </w:pPr>
      <w:r>
        <w:rPr>
          <w:rFonts w:ascii="Times New Roman" w:cs="Times New Roman" w:eastAsia="Times New Roman" w:hAnsi="Times New Roman"/>
          <w:sz w:val="14"/>
          <w:szCs w:val="14"/>
          <w:color w:val="auto"/>
        </w:rPr>
        <w:t>Foreign Companies Accountable Act, or the HFCAA, if the Securities and Exchange Commission determines that Canaan has filed audit reports issued by a</w:t>
      </w:r>
    </w:p>
    <w:p>
      <w:pPr>
        <w:spacing w:after="0" w:line="1" w:lineRule="exact"/>
        <w:rPr>
          <w:sz w:val="20"/>
          <w:szCs w:val="20"/>
          <w:color w:val="auto"/>
        </w:rPr>
      </w:pPr>
    </w:p>
    <w:p>
      <w:pPr>
        <w:ind w:left="500"/>
        <w:spacing w:after="0" w:line="211" w:lineRule="auto"/>
        <w:rPr>
          <w:sz w:val="20"/>
          <w:szCs w:val="20"/>
          <w:color w:val="auto"/>
        </w:rPr>
      </w:pPr>
      <w:r>
        <w:rPr>
          <w:rFonts w:ascii="Times New Roman" w:cs="Times New Roman" w:eastAsia="Times New Roman" w:hAnsi="Times New Roman"/>
          <w:sz w:val="14"/>
          <w:szCs w:val="14"/>
          <w:color w:val="auto"/>
        </w:rPr>
        <w:t>registered public accounting firm that has not been subject to inspections by the PCAOB for two consecutive years. On December 16, 2021, the PCAOB issued a report to notify the SEC of its determination that the PCAOB was unable to inspect or investigate completely registered public accounting firms headquartered</w:t>
      </w:r>
    </w:p>
    <w:p>
      <w:pPr>
        <w:ind w:left="500"/>
        <w:spacing w:after="0" w:line="222" w:lineRule="auto"/>
        <w:rPr>
          <w:sz w:val="20"/>
          <w:szCs w:val="20"/>
          <w:color w:val="auto"/>
        </w:rPr>
      </w:pPr>
      <w:r>
        <w:rPr>
          <w:rFonts w:ascii="Times New Roman" w:cs="Times New Roman" w:eastAsia="Times New Roman" w:hAnsi="Times New Roman"/>
          <w:sz w:val="14"/>
          <w:szCs w:val="14"/>
          <w:color w:val="auto"/>
        </w:rPr>
        <w:t>in mainland China and Hong Kong and our auditors were subject to this determination. Consequently, we were conclusively identified as a “Commission-</w:t>
      </w:r>
    </w:p>
    <w:p>
      <w:pPr>
        <w:ind w:left="500" w:right="20"/>
        <w:spacing w:after="0" w:line="211" w:lineRule="auto"/>
        <w:rPr>
          <w:sz w:val="20"/>
          <w:szCs w:val="20"/>
          <w:color w:val="auto"/>
        </w:rPr>
      </w:pPr>
      <w:r>
        <w:rPr>
          <w:rFonts w:ascii="Times New Roman" w:cs="Times New Roman" w:eastAsia="Times New Roman" w:hAnsi="Times New Roman"/>
          <w:sz w:val="14"/>
          <w:szCs w:val="14"/>
          <w:color w:val="auto"/>
        </w:rPr>
        <w:t>Identified Issuer” on May 4, 2022. On December 15, 2022, the PCAOB announced that it was able to secure complete access to inspect and investigate PCAOB-registered public accounting firms headquartered in mainland China and Hong Kong in 2022. Each year, the PCAOB will determine whether it can inspect and</w:t>
      </w:r>
    </w:p>
    <w:p>
      <w:pPr>
        <w:ind w:left="500"/>
        <w:spacing w:after="0" w:line="222" w:lineRule="auto"/>
        <w:rPr>
          <w:sz w:val="20"/>
          <w:szCs w:val="20"/>
          <w:color w:val="auto"/>
        </w:rPr>
      </w:pPr>
      <w:r>
        <w:rPr>
          <w:rFonts w:ascii="Times New Roman" w:cs="Times New Roman" w:eastAsia="Times New Roman" w:hAnsi="Times New Roman"/>
          <w:sz w:val="14"/>
          <w:szCs w:val="14"/>
          <w:color w:val="auto"/>
        </w:rPr>
        <w:t>investigate completely audit firms in mainland China and Hong Kong, among other jurisdictions. If the PCAOB determines in the future that it no longer has full</w:t>
      </w:r>
    </w:p>
    <w:p>
      <w:pPr>
        <w:ind w:left="500"/>
        <w:spacing w:after="0" w:line="211" w:lineRule="auto"/>
        <w:rPr>
          <w:sz w:val="20"/>
          <w:szCs w:val="20"/>
          <w:color w:val="auto"/>
        </w:rPr>
      </w:pPr>
      <w:r>
        <w:rPr>
          <w:rFonts w:ascii="Times New Roman" w:cs="Times New Roman" w:eastAsia="Times New Roman" w:hAnsi="Times New Roman"/>
          <w:sz w:val="14"/>
          <w:szCs w:val="14"/>
          <w:color w:val="auto"/>
        </w:rPr>
        <w:t>access to inspect and investigate completely accounting firms in mainland China and Hong Kong and we use an accounting firm headquartered in one of these jurisdictions to issue an audit report on its financial statements filed with the SEC, we would be identified as a Commission -Identified Issuer following the filing</w:t>
      </w:r>
    </w:p>
    <w:p>
      <w:pPr>
        <w:ind w:left="500"/>
        <w:spacing w:after="0" w:line="222" w:lineRule="auto"/>
        <w:rPr>
          <w:sz w:val="20"/>
          <w:szCs w:val="20"/>
          <w:color w:val="auto"/>
        </w:rPr>
      </w:pPr>
      <w:r>
        <w:rPr>
          <w:rFonts w:ascii="Times New Roman" w:cs="Times New Roman" w:eastAsia="Times New Roman" w:hAnsi="Times New Roman"/>
          <w:sz w:val="14"/>
          <w:szCs w:val="14"/>
          <w:color w:val="auto"/>
        </w:rPr>
        <w:t>of the annual report on Form 20-F for the relevant fiscal year. In accordance with the HFCAA, our securities would be prohibited from being traded on a</w:t>
      </w:r>
    </w:p>
    <w:p>
      <w:pPr>
        <w:ind w:left="500" w:right="200"/>
        <w:spacing w:after="0" w:line="211" w:lineRule="auto"/>
        <w:rPr>
          <w:sz w:val="20"/>
          <w:szCs w:val="20"/>
          <w:color w:val="auto"/>
        </w:rPr>
      </w:pPr>
      <w:r>
        <w:rPr>
          <w:rFonts w:ascii="Times New Roman" w:cs="Times New Roman" w:eastAsia="Times New Roman" w:hAnsi="Times New Roman"/>
          <w:sz w:val="14"/>
          <w:szCs w:val="14"/>
          <w:color w:val="auto"/>
        </w:rPr>
        <w:t>national securities exchange or in the over-the-counter trading market in the United States if it is identified as a Commission- Identified Issuer for two consecutive years in the future. If our securities are prohibited from trading in the United States, there is no certainty that we will be able to list on a non-U.S.</w:t>
      </w:r>
    </w:p>
    <w:p>
      <w:pPr>
        <w:ind w:left="500"/>
        <w:spacing w:after="0" w:line="222" w:lineRule="auto"/>
        <w:rPr>
          <w:sz w:val="20"/>
          <w:szCs w:val="20"/>
          <w:color w:val="auto"/>
        </w:rPr>
      </w:pPr>
      <w:r>
        <w:rPr>
          <w:rFonts w:ascii="Times New Roman" w:cs="Times New Roman" w:eastAsia="Times New Roman" w:hAnsi="Times New Roman"/>
          <w:sz w:val="14"/>
          <w:szCs w:val="14"/>
          <w:color w:val="auto"/>
        </w:rPr>
        <w:t>exchange or that a market for our securities will develop outside of the United States. In the event of such prohibition, the Nasdaq may determine to delist our</w:t>
      </w:r>
    </w:p>
    <w:p>
      <w:pPr>
        <w:ind w:left="500" w:right="280"/>
        <w:spacing w:after="0" w:line="211" w:lineRule="auto"/>
        <w:rPr>
          <w:sz w:val="20"/>
          <w:szCs w:val="20"/>
          <w:color w:val="auto"/>
        </w:rPr>
      </w:pPr>
      <w:r>
        <w:rPr>
          <w:rFonts w:ascii="Times New Roman" w:cs="Times New Roman" w:eastAsia="Times New Roman" w:hAnsi="Times New Roman"/>
          <w:sz w:val="14"/>
          <w:szCs w:val="14"/>
          <w:color w:val="auto"/>
        </w:rPr>
        <w:t>securities. The delisting of our securities, or the threat of their being delisted, may materially and adversely affect the value of your investment. See “Item 3. Key Information — 3.D. Risk Factors-Risks Relating to Doing Business in the PRC-Our ADSs may be delisted under the Holding Foreign Companies</w:t>
      </w:r>
    </w:p>
    <w:p>
      <w:pPr>
        <w:ind w:left="500"/>
        <w:spacing w:after="0" w:line="222" w:lineRule="auto"/>
        <w:rPr>
          <w:sz w:val="20"/>
          <w:szCs w:val="20"/>
          <w:color w:val="auto"/>
        </w:rPr>
      </w:pPr>
      <w:r>
        <w:rPr>
          <w:rFonts w:ascii="Times New Roman" w:cs="Times New Roman" w:eastAsia="Times New Roman" w:hAnsi="Times New Roman"/>
          <w:sz w:val="14"/>
          <w:szCs w:val="14"/>
          <w:color w:val="auto"/>
        </w:rPr>
        <w:t>Accountable Act if the PCAOB is unable to inspect auditors who are located in China. The delisting of our ADSs, or the threat of their being delisted, may</w:t>
      </w:r>
    </w:p>
    <w:p>
      <w:pPr>
        <w:ind w:left="500" w:right="160"/>
        <w:spacing w:after="0" w:line="22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materially and adversely affect the value of your investment.” in our </w:t>
      </w:r>
      <w:hyperlink r:id="rId32">
        <w:r>
          <w:rPr>
            <w:rFonts w:ascii="Times New Roman" w:cs="Times New Roman" w:eastAsia="Times New Roman" w:hAnsi="Times New Roman"/>
            <w:sz w:val="14"/>
            <w:szCs w:val="14"/>
            <w:u w:val="single" w:color="auto"/>
            <w:color w:val="0000EE"/>
          </w:rPr>
          <w:t>annual report on Form 20-F for the year ended December 31, 2023</w:t>
        </w:r>
      </w:hyperlink>
      <w:r>
        <w:rPr>
          <w:rFonts w:ascii="Times New Roman" w:cs="Times New Roman" w:eastAsia="Times New Roman" w:hAnsi="Times New Roman"/>
          <w:sz w:val="14"/>
          <w:szCs w:val="14"/>
          <w:color w:val="auto"/>
        </w:rPr>
        <w:t>, which is incorporated by reference in this prospectus.</w:t>
      </w:r>
    </w:p>
    <w:p>
      <w:pPr>
        <w:ind w:left="500" w:right="60" w:firstLine="360"/>
        <w:spacing w:after="0" w:line="233" w:lineRule="auto"/>
        <w:rPr>
          <w:sz w:val="20"/>
          <w:szCs w:val="20"/>
          <w:color w:val="auto"/>
        </w:rPr>
      </w:pPr>
      <w:r>
        <w:rPr>
          <w:rFonts w:ascii="Times New Roman" w:cs="Times New Roman" w:eastAsia="Times New Roman" w:hAnsi="Times New Roman"/>
          <w:sz w:val="14"/>
          <w:szCs w:val="14"/>
          <w:b w:val="1"/>
          <w:bCs w:val="1"/>
          <w:color w:val="auto"/>
        </w:rPr>
        <w:t>Investing in these securities involves risks. See the “Risk Factors” section contained in the applicable prospectus supplement and the documents we incorporate by reference in this prospectus to read about factors you should consider before investing in our securities.</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This prospectus may not be used to offer or sell any securities unless accompanied by a prospectus supplement.</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securities or passed upon the accuracy or</w:t>
      </w:r>
    </w:p>
    <w:p>
      <w:pPr>
        <w:spacing w:after="0" w:line="2" w:lineRule="exact"/>
        <w:rPr>
          <w:sz w:val="20"/>
          <w:szCs w:val="20"/>
          <w:color w:val="auto"/>
        </w:rPr>
      </w:pPr>
    </w:p>
    <w:p>
      <w:pPr>
        <w:ind w:left="500" w:right="20"/>
        <w:spacing w:after="0" w:line="229" w:lineRule="auto"/>
        <w:rPr>
          <w:sz w:val="20"/>
          <w:szCs w:val="20"/>
          <w:color w:val="auto"/>
        </w:rPr>
      </w:pPr>
      <w:r>
        <w:rPr>
          <w:rFonts w:ascii="Times New Roman" w:cs="Times New Roman" w:eastAsia="Times New Roman" w:hAnsi="Times New Roman"/>
          <w:sz w:val="14"/>
          <w:szCs w:val="14"/>
          <w:b w:val="1"/>
          <w:bCs w:val="1"/>
          <w:color w:val="auto"/>
        </w:rPr>
        <w:t>adequacy of the disclosures in this prospectus, including any prospectus supplement and documents incorporated by reference. Any representation to the contrary is a criminal offense.</w:t>
      </w:r>
    </w:p>
    <w:p>
      <w:pPr>
        <w:ind w:left="3900"/>
        <w:spacing w:after="0"/>
        <w:rPr>
          <w:sz w:val="20"/>
          <w:szCs w:val="20"/>
          <w:color w:val="auto"/>
        </w:rPr>
      </w:pPr>
      <w:r>
        <w:rPr>
          <w:rFonts w:ascii="Times New Roman" w:cs="Times New Roman" w:eastAsia="Times New Roman" w:hAnsi="Times New Roman"/>
          <w:sz w:val="14"/>
          <w:szCs w:val="14"/>
          <w:color w:val="auto"/>
        </w:rPr>
        <w:t>The date of this prospectus is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243205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CORPORATE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PREFERRED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By using a shelf registration statement, we may, at any time and from time to time, offer and sell up to an aggregate of US$300,000,000 of the securities as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34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 references to:</w:t>
      </w:r>
    </w:p>
    <w:p>
      <w:pPr>
        <w:spacing w:after="0" w:line="131"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American depositary receipts, which, if issued, evidence the ADSs;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15 of our Class A ordinary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are to artificial intelligence;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“ASICs” are to application-specific ICs, meaning ICs designed for a specific application;</w:t>
      </w:r>
    </w:p>
    <w:p>
      <w:pPr>
        <w:spacing w:after="0" w:line="130"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 excluding, for the purposes of this prospectus only, Taiwan, the Hong Kong Special Administrative Region and the Macao Special Administrative Region;</w:t>
      </w:r>
    </w:p>
    <w:p>
      <w:pPr>
        <w:spacing w:after="0" w:line="81"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computing” are to a method of optimizing cloud computing systems by performing data processing at the edge of the network, near the source of the data;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are to integrated circuits;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“neural-network accelerator” are to a class of microprocessor designed as hardware acceleration for AI applications;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subsidiaries” are to, for the purpose of this annual report, Hangzhou Canaan Intelligence Information Technology Co., Ltd., Canaan Creative Co., Ltd., Langfang Creative Technology Co., Ltd., Canaan Convey Co., Ltd., Zhejiang Avalon Technology Co., Ltd., Canaan Bright Sight Co., Ltd., and Canaan Creative (SH) Co., Ltd., Canaan Creative (HK) Holdings Limited, Canaan Creative International PTE. Ltd., Canaan Creative Global Pte. Ltd., and Canaan U.S. Inc.</w:t>
      </w:r>
    </w:p>
    <w:p>
      <w:pPr>
        <w:spacing w:after="0" w:line="88"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“Risc-V” are to an open source instruction set architecture, which is a set of instructions that describes the way in which software talks to an underlying processor, and Risc-V’s open source nature means that anyone can build a processor to support it without paying high royalty fees;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14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Shares” are to our series A convertible preferred shares, par value $0.00000005 per share;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are to the legal currency of the United States; and</w:t>
      </w:r>
    </w:p>
    <w:p>
      <w:pPr>
        <w:spacing w:after="0" w:line="130"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“our” and “Canaan” are to Canaan Inc. and its subsidiaries, as the context requires.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w:t>
      </w:r>
    </w:p>
    <w:p>
      <w:pPr>
        <w:spacing w:after="0" w:line="86" w:lineRule="exact"/>
        <w:rPr>
          <w:sz w:val="20"/>
          <w:szCs w:val="20"/>
          <w:color w:val="auto"/>
        </w:rPr>
      </w:pPr>
    </w:p>
    <w:p>
      <w:pPr>
        <w:ind w:left="1440" w:hanging="180"/>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and strategies;</w:t>
      </w:r>
    </w:p>
    <w:p>
      <w:pPr>
        <w:spacing w:after="0" w:line="11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w:t>
      </w:r>
    </w:p>
    <w:p>
      <w:pPr>
        <w:spacing w:after="0" w:line="11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w:t>
      </w:r>
    </w:p>
    <w:p>
      <w:pPr>
        <w:spacing w:after="0" w:line="11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and</w:t>
      </w:r>
    </w:p>
    <w:p>
      <w:pPr>
        <w:spacing w:after="0" w:line="117" w:lineRule="exact"/>
        <w:rPr>
          <w:rFonts w:ascii="Times New Roman" w:cs="Times New Roman" w:eastAsia="Times New Roman" w:hAnsi="Times New Roman"/>
          <w:sz w:val="18"/>
          <w:szCs w:val="18"/>
          <w:color w:val="auto"/>
        </w:rPr>
      </w:pPr>
    </w:p>
    <w:p>
      <w:pPr>
        <w:ind w:left="1440" w:right="779" w:hanging="180"/>
        <w:spacing w:after="0" w:line="282" w:lineRule="auto"/>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included in the applicable prospectus supplement or under similar headings in other documents which are incorporated by reference in this prospectus.</w:t>
      </w:r>
    </w:p>
    <w:p>
      <w:pPr>
        <w:spacing w:after="0" w:line="9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95"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You should read these statements in conjunction with the risks discussed under the heading “Risk Factors” included in the applicable prospectus supplement or under similar headings in other documents which are incorporated by reference in this prospectus.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prospectus and the documents incorporated by reference herein relate only to events or information as of the date on which the statements are made in this prospectus and such incorporated documents. Except as required by law, we undertake no obligation to update any forward-looking statements to reflect events or circumstances after the date on which the statements are made or to reflect the occurrence of unanticipated events. You should read this prospectus and the documents incorporated by reference herein and have filed as exhibits to this prospectus and the incorporated documents,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provide high performance computing solutions through our proprietary ASICs. We have strong ASIC chip design capability underpinned by over ten years of industry experience and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Bitcoin mining machines and are a leading producer of Bitcoin mining machines in the global market. In addition, with our technology expertise and know-how in ASIC chip design, we strive to expand into AI fields and provide holistic AI solutions to our customers. Our operating subsidiaries have delivered commercial edge computing AI chips based on Risc-V architecture and self-developed neural-network accelerator with outstanding performance. We believe our extensive experience and expertise in ASIC applications position us well in our future endeavors.</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28 Ayer Rajah Crescent, #06-08, Singapore 139959. Our telephone number at this address is +65 6305 6618. Our registered office in the Cayman Islands is located at the offices of Sertus Chambers, Suite #5-204, 23 Lime Tree Bay Avenue, P.O. Box 2547, Grand Cayman, KY1-1104, Cayman Islands. Our agent for service of process in the United States is Cogency Global Inc., located at 122 East 42nd Street, 18th Floor, New York, New York 10168.</w:t>
      </w:r>
    </w:p>
    <w:p>
      <w:pPr>
        <w:spacing w:after="0" w:line="10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our website at </w:t>
      </w:r>
      <w:r>
        <w:rPr>
          <w:rFonts w:ascii="Times New Roman" w:cs="Times New Roman" w:eastAsia="Times New Roman" w:hAnsi="Times New Roman"/>
          <w:sz w:val="18"/>
          <w:szCs w:val="18"/>
          <w:i w:val="1"/>
          <w:iCs w:val="1"/>
          <w:color w:val="auto"/>
        </w:rPr>
        <w:t>www.canaan-creative.com</w:t>
      </w:r>
      <w:r>
        <w:rPr>
          <w:rFonts w:ascii="Times New Roman" w:cs="Times New Roman" w:eastAsia="Times New Roman" w:hAnsi="Times New Roman"/>
          <w:sz w:val="18"/>
          <w:szCs w:val="18"/>
          <w:color w:val="auto"/>
        </w:rPr>
        <w:t>. The information contained on our website is not a part of this prospectus.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w:t>
      </w:r>
    </w:p>
    <w:p>
      <w:pPr>
        <w:spacing w:after="0" w:line="1" w:lineRule="exact"/>
        <w:rPr>
          <w:sz w:val="20"/>
          <w:szCs w:val="20"/>
          <w:color w:val="auto"/>
        </w:rPr>
      </w:pPr>
    </w:p>
    <w:p>
      <w:pPr>
        <w:ind w:left="1260" w:right="519"/>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also consider the risks and uncertainties discussed under the heading “Risk Factors” in our </w:t>
      </w:r>
      <w:hyperlink r:id="rId32">
        <w:r>
          <w:rPr>
            <w:rFonts w:ascii="Times New Roman" w:cs="Times New Roman" w:eastAsia="Times New Roman" w:hAnsi="Times New Roman"/>
            <w:sz w:val="18"/>
            <w:szCs w:val="18"/>
            <w:u w:val="single" w:color="auto"/>
            <w:color w:val="0000EE"/>
          </w:rPr>
          <w:t>annual report on Form 20-F for the fiscal year ended 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is incorporated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in this prospectus, and which may be amended, supplemented or superseded from time to time by other reports we file with the SEC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and our affairs are governed by our memorandum and articles of association, and the Companies Act of the Cayman Islands, as amended, which we refer to as the Cayman Companies Act, and the common law of the Cayman Islands.</w:t>
      </w:r>
    </w:p>
    <w:p>
      <w:pPr>
        <w:spacing w:after="0" w:line="323"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was US$50,000 divided into 999,643,250,556 Class A ordinary shares of per value US$0.00000005 each, 356,624,444 Class B ordinary shares of par value US$0.00000005 each and 125,000 Series A Preferred Shares of par value US$0.00000005 each.</w:t>
      </w:r>
    </w:p>
    <w:p>
      <w:pPr>
        <w:spacing w:after="0" w:line="11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4,447,163,932 Class A ordinary shares, 311,624,444 Class B ordinary shares and 5,000 Series A Preferred Shares issued and outstanding.</w:t>
      </w:r>
    </w:p>
    <w:p>
      <w:pPr>
        <w:spacing w:after="0" w:line="9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following are summaries of certain material provisions of our amended and restated memorandum and articles of association adopted by special resolution passed on October 8, 2019 and effective immediately prior to the completion of the initial public offering of our ADSs representing our Class A ordinary shares, or our articles of association and the Cayman Companies Act insofar as they relate to the material terms of our ordinary shares. The following summary is not complete, and you should read our amended and restated memorandum and articles of association, a form of which was filed with the SEC as Exhibit 3.2 to the registration statement on Form F-1 (File No. 333-234356), originally filed on October 28, 2019, as amended.</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 -assessable.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15 votes on all matters subject to vote at our general meetings. Our ordinary shares are issued in registered form, and are issued when registered in our register of shareholders. Our shareholders who are non-residents of the Cayman Islands may freely hold and vote their ordinary shares. We may not issue shares to bearer.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 Pursuant to our articles of association, upon any sale, transfer, assignment or disposition of any Class B ordinary share by a holder thereof to any person who is not an affiliate of such holder, or upon a change of ultimate beneficial ownership of any Class B ordinary share to any person who is not an affiliate of the registered shareholder of such Class B ordinary share, such Class B ordinary share shall be automatically and immediately converted into the same number of Class A ordinary share. For this purpose, beneficial ownership shall have the meaning set forth in Rule 13d-3 under the United States Securities Exchange Act of 1934, as amended.</w:t>
      </w:r>
    </w:p>
    <w:p>
      <w:pPr>
        <w:spacing w:after="0" w:line="3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An “affiliate” for the purposes of our articles of association 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0" w:lineRule="auto"/>
        <w:rPr>
          <w:sz w:val="20"/>
          <w:szCs w:val="20"/>
          <w:color w:val="auto"/>
        </w:rPr>
      </w:pPr>
      <w:r>
        <w:rPr>
          <w:rFonts w:ascii="Times New Roman" w:cs="Times New Roman" w:eastAsia="Times New Roman" w:hAnsi="Times New Roman"/>
          <w:sz w:val="18"/>
          <w:szCs w:val="18"/>
          <w:color w:val="auto"/>
        </w:rPr>
        <w:t>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10"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 “person” for the purposes of our articles of association means any natural person, firm, company, joint venture, partnership, corporation, association or other entity (whether or not having a separate legal personality) or any of them as the context so requires.</w:t>
      </w:r>
    </w:p>
    <w:p>
      <w:pPr>
        <w:spacing w:after="0" w:line="10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For the avoidance of doubt, on the transmission of shares following the death of a holder of Class B ordinary shares, such Class B ordinary shares will not automatically convert into the same number of Class A ordinary shares unless such transmission of shares results in a change in ultimate beneficial ownership of such Class B ordinary share(s) to any person who is not an affiliate of the relevant holder of Class B ordinary shares.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 may declare dividends by ordinary resolution, but no dividend shall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15 votes, on all matters subject to a vote at general meetings of our company.</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Voting at any meeting of shareholders is by a show of hands, unless a poll is (before or on the declaration of the result of the show of hands) demanded by the chairman of the meeting or any shareholder present in person or by proxy of the Company entitled to vote, and, unless a poll is so demanded, a declaration by the chairman of the meeting that a resolution has, on a show of hands, been carried or carried unanimously, or by a particular majority, or lost and an entry to that effect in the minutes of the proceedings of the Company, shall be conclusive evidence of the fact, without proof of the number of proportion of the votes recorded in favor of, or against that resolution.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Any of our shareholders may transfer all or any of his or her ordinary shares by an instrument of transfer in any usual or common form or any other form approved by our board of directors, executed by or on behalf of the transferor.</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has not been fully paid up or is subject to a company lien. Our board of directors may also decline to register any transfer of any ordinary share unless:</w:t>
      </w:r>
    </w:p>
    <w:p>
      <w:pPr>
        <w:spacing w:after="0" w:line="69" w:lineRule="exact"/>
        <w:rPr>
          <w:sz w:val="20"/>
          <w:szCs w:val="20"/>
          <w:color w:val="auto"/>
        </w:rPr>
      </w:pPr>
    </w:p>
    <w:p>
      <w:pPr>
        <w:jc w:val="both"/>
        <w:ind w:left="1800" w:right="4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 transferred is fully paid and free of any lien in favor of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related to the transfer has been paid to us;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in the case of any transfer to joint holders, the transfer is not to more than four joint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Winding Up</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such assets will be distributed so that, as nearly as may be, the losses are borne by our shareholders in proportion to the par value of the shares held by them.</w:t>
      </w:r>
    </w:p>
    <w:p>
      <w:pPr>
        <w:spacing w:after="0" w:line="32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liquidator may, with the sanction of a special resolution of our shareholders, divide amongst the shareholders in species or in kind the whole or any part of the assets of our company, and may for such purpose set such value as the liquidator deems fair upon any property to be divided as aforesaid and may determine how the division shall be carried out as between our shareholders or different classes of shareholders.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Cayman Companies Act, and under the Cayman Companies Act, the liability of our shareholders is limited to the amount, if any, unpaid on the shares respectively held by them. Our memorandum of association contains a declaration that the liability of our members is so limited.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 our board of directors or by our shareholders by special resolution. Our company may also repurchase any of our shares (including any redeemable shares) in such manner and terms as been approved by our board of directors or by ordinary resolution of our shareholders, or as otherwise authorized by our articles of association. Under the Cayman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(or any of them) for any amounts unpaid on their ordinary shares in a notice served to such shareholders at least 14 calendar days prior to the specified time and place of payment. The ordinary shares that have been called upon and remain unpaid are subject to forfeiture.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Cayman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16"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by our chairman. Advance notice of at least ten calendar days is required for the convening of our annual general shareholders’ meeting (if any) and any other general meeting of our shareholders. A quorum required for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general meeting of shareholders consists of at least one shareholder present or by proxy, representing not less than one-third of all votes attaching to the total issued voting shares in our company.</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of association do not provide our shareholders with any right to put any proposals before annual general meetings or extraordinary general meetings not called by such shareholders.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Our articles of association provide that subject to the Cayman Companies Act, our articles of association and to any resolutions passed in a general meeting of our company, our business is to be managed and conducted by our board of directors. The quorum necessary for board meetings may be fixed by the board and, unless so fixed at another number, will be a majority of the directors.</w:t>
      </w:r>
    </w:p>
    <w:p>
      <w:pPr>
        <w:spacing w:after="0" w:line="110"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Our articles of association provide that the board may from time to time at its discretion exercise all powers of our company to raise capital or borrow money, to mortgage or charge all or any part of the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w:t>
      </w:r>
    </w:p>
    <w:p>
      <w:pPr>
        <w:spacing w:after="0" w:line="117" w:lineRule="exact"/>
        <w:rPr>
          <w:sz w:val="20"/>
          <w:szCs w:val="20"/>
          <w:color w:val="auto"/>
        </w:rPr>
      </w:pPr>
    </w:p>
    <w:p>
      <w:pPr>
        <w:ind w:left="1800" w:right="5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9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the Cayman Companies Act to inspect or obtain copies of our list of shareholders or our corporate records (except for our memorandum and articles of association, special resolutions of our shareholders and our register of mortgages and charges). However, we will provide our shareholders with annual audited financial statements. See “Where You Can Find More Information.”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The Series A Preferred Shares shall rank prior and superior to all of the Ordinary Shares and any other shares in the capital of the Company with respect to the preferences as to dividends, distributions and payments upon a Liquidation Event (such shares being referred to hereinafter collectively as “Junior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 rights of the Junior Shares shall be of junior rank to and subject to the preferences and relative rights of the Series A Preferred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any Series A Preferred Shares remain issued and outstanding on the Maturity Date, the Company shall redeem such Series A Preferred Shares in cash in an amount equal to 105% of the Conversion Amount (as defined below) for each such Series A Preferred Share. The “Maturity Date” with respect to any Series A Preferred Shares shall be the date that is twelve (12) months immediately following the applicable issuance date of such Series A Preferred Shares, as may be extended at the option of each Holder (i) in the event that, and for so long as, a Triggering Event (as defined below) shall have occurred and be continuing on the Maturity Date (as may be extended pursuant to this clause) or any event shall have occurred and be continuing on the Maturity Date (as may be extended pursuant to this clause) that with the passage of time and the failure to cure would result in a Triggering Event and (ii) through the date that is ten (10) Business Days after the consummation of a Change of Control in the event that a Change of Control is publicly announced or a Change of Control Notice (as defined below) is delivered prior to the Maturity Date. Other than as specifically permitted by the Certificate of Designations, the Company may not prepay any portion of the outstanding stated value, accrued and unpaid dividends, if any, or accrued and unpaid late charges on stated value and dividends, if any.</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Preferential Payment to Holders</w:t>
      </w:r>
      <w:r>
        <w:rPr>
          <w:rFonts w:ascii="Times New Roman" w:cs="Times New Roman" w:eastAsia="Times New Roman" w:hAnsi="Times New Roman"/>
          <w:sz w:val="18"/>
          <w:szCs w:val="18"/>
          <w:color w:val="auto"/>
        </w:rPr>
        <w:t>. In the event of a Liquidation Event, holders of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shall be entitled to receive in cash out of the assets of the Company, whether from capital or from earnings available for distribution to its shareholders (the “Liquidation Funds”), upon such Liquidation Event, but before any amount shall be paid to the holders of any Junior Shares, an amount per Series A Preferred Share equal to the greater of (i) the Conversion Amount and (ii) the amount that would have been received had such Series A Preferred Shares been converted into the Class A Ordinary Shares issuable upon conversion of the Series A Preferred Shares immediately prior to such Liquidation Event at the then effective Alternate Conversion Price (without regard to any limitations on conversion); provided that, if the Liquidation Funds are insufficient to pay the full amount due to the Holders and holders of shares of other classes or series of preferred shares of the Company, if any, that are of equal rank with the Series A Preferred Shares as to payments of Liquidation Funds (such shares being referred to hereinafter collectively as “Pari Passu Shares”), if any, then each Holder and each holder of any such Pari Passu Shares shall receive a percentage of the Liquidation Funds equal to the full amount of Liquidation Funds payable to such Holder as a liquidation preference, in accordance with the Certificate of Designations, as a percentage of the full amount of Liquidation Funds payable to all holders of Series A Preferred Shares and Pari Passu Shares.</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Maximum Percentage. </w:t>
      </w:r>
      <w:r>
        <w:rPr>
          <w:rFonts w:ascii="Times New Roman" w:cs="Times New Roman" w:eastAsia="Times New Roman" w:hAnsi="Times New Roman"/>
          <w:sz w:val="18"/>
          <w:szCs w:val="18"/>
          <w:color w:val="auto"/>
        </w:rPr>
        <w:t>Notwithstanding the foregoing, to the extent that a Holder’s right to participate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liquidation would result in such Holder and such Holder’s other Attribution Parties exceeding the Maximum Percentage (as defined below), if applicable, then such Holder shall not be entitled to participate in such liquidation to such extent (and shall not be entitled to beneficial ownership of such Class A Ordinary Shares as a result of such liquidation (and beneficial ownership) to such extent) and the portion of such liquidation shall be held in abeyance for such Holder until such time or times as its right thereto would not result in such Holder and its other Attribution Parties exceeding the Maximum Percentage, if applicable, at which time or times such Holder shall be granted such rights) to the same extent as if there had been no such limitation.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From and after the issuance date, the Holders shall be entitled to receive dividends per Series A Preferred Share when, as and if declared by the Board.</w:t>
      </w:r>
    </w:p>
    <w:p>
      <w:pPr>
        <w:spacing w:after="0" w:line="94"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In addition, the Holders shall be entitled to receive such dividends paid and distributions made to the holders of Class A Ordinary Shares to the same extent as if such Holders had converted the Series A Preferred Shares into Class A Ordinary Shares (without regard to any limitations on conversion and assuming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such purpose that the Series A Preferred Shares were converted at the Alternate Conversion Price as of the applicable record date) and had held such Class A Ordinary Shares on the record date for such dividends and distributions.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any time or times on or after the applicable issuance date, any holder shall be entitled to convert any portion of the outstanding and unpaid conversion amount into fully paid and non-assessable Class A Ordinary Shares at the Conversion Rate, provided that such holder shall only be entitled to submit a Conversion Notice for a number of Class A Ordinary Shares representing a whole number of ADS(s) (unless such Holder converts the remaining balance of Series A Preferred Shares it holds, in which case the Company shall, subject to the Maximum Percentage, round such number of Class A Ordinary Shares up to the number of Class A Ordinary Shares corresponding to the nearest whole ADS. The number of Class A Ordinary Shares issuable upon conversion of any Conversion Amount shall be determined by dividing</w:t>
      </w:r>
    </w:p>
    <w:p>
      <w:pPr>
        <w:spacing w:after="0" w:line="1" w:lineRule="exact"/>
        <w:rPr>
          <w:sz w:val="20"/>
          <w:szCs w:val="20"/>
          <w:color w:val="auto"/>
        </w:rPr>
      </w:pPr>
    </w:p>
    <w:p>
      <w:pPr>
        <w:ind w:left="1260" w:right="579"/>
        <w:spacing w:after="0" w:line="253" w:lineRule="auto"/>
        <w:tabs>
          <w:tab w:leader="none" w:pos="15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Conversion Amount by (y) the Conversion Price less the issuance fee (the “Conversion Rate”). Absent a written instruction by a Holder to the contrary upon delivery of a Conversion Notice, the Class A Ordinary Shares issuable upon conversion of the Series A Preferred Shares by such Holder, when issued, shall be deposited by the Company with the Depositary or its nominee for delivery of ADSs.</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Conversion Amount means the sum of (i) the portion of the stated value, meaning US$1,072.80 per Series A Preferred Share, to be converted, (ii) the accrued and unpaid dividends with respect to such stated value, if any and (iii) accrued and unpaid late charges, if any, with respect to such stated value and dividends. Conversion Price means, as of any conversion date or other date of determination, the lower of</w:t>
      </w:r>
    </w:p>
    <w:p>
      <w:pPr>
        <w:spacing w:after="0" w:line="3" w:lineRule="exact"/>
        <w:rPr>
          <w:sz w:val="20"/>
          <w:szCs w:val="20"/>
          <w:color w:val="auto"/>
        </w:rPr>
      </w:pPr>
    </w:p>
    <w:p>
      <w:pPr>
        <w:ind w:left="1260" w:right="419"/>
        <w:spacing w:after="0" w:line="253" w:lineRule="auto"/>
        <w:tabs>
          <w:tab w:leader="none" w:pos="14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of the Weighted Average Price of the ADSs on the trading day immediately preceding the issuance date of the Series A Preferred Shares being converted, and (ii) 92.50% of the lowest daily Weighted Average Prices of the ADSs during the five consecutive trading day period immediately preceding the applicable conversion date, subject to adjustments as provided in the Certificate of Designations, Preferences and Rights.</w:t>
      </w:r>
    </w:p>
    <w:p>
      <w:pPr>
        <w:spacing w:after="0" w:line="324"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No holder shall have the right to any Class A Ordinary Shares otherwise issuable and such issuance shall be null and void and treated as if never made, to the extent that after giving effect to such issuance, such holder together with its other attribution parties collectively would beneficially own in excess of 4.99% or 9.99%, as such holder shall have indicated in the Securities Purchase Agreement or as any subsequent transferee of Series A Preferred Shares indicates in a written notice to the Company, (the “Maximum Percentage”) of the Class A Ordinary Shares issued and outstanding immediately after giving effect to such issuance, such Maximum Percentage to be set by each Buyer as to such Buyer and its other attribution parties.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Triggering Events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events shall constitute a “Triggering Event” and each of the events in clauses</w:t>
      </w:r>
    </w:p>
    <w:p>
      <w:pPr>
        <w:spacing w:after="0" w:line="27" w:lineRule="exact"/>
        <w:rPr>
          <w:sz w:val="20"/>
          <w:szCs w:val="20"/>
          <w:color w:val="auto"/>
        </w:rPr>
      </w:pPr>
    </w:p>
    <w:p>
      <w:pPr>
        <w:ind w:left="1580" w:hanging="320"/>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(vii) shall also constitute a “Bankruptcy Triggering Event”:</w:t>
      </w:r>
    </w:p>
    <w:p>
      <w:pPr>
        <w:spacing w:after="0" w:line="139"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ADSs from trading on an Eligible Market for a period of five</w:t>
      </w:r>
    </w:p>
    <w:p>
      <w:pPr>
        <w:spacing w:after="0" w:line="27" w:lineRule="exact"/>
        <w:rPr>
          <w:rFonts w:ascii="Times New Roman" w:cs="Times New Roman" w:eastAsia="Times New Roman" w:hAnsi="Times New Roman"/>
          <w:sz w:val="18"/>
          <w:szCs w:val="18"/>
          <w:color w:val="auto"/>
        </w:rPr>
      </w:pPr>
    </w:p>
    <w:p>
      <w:pPr>
        <w:ind w:left="206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consecutive Trading Days or for more than an aggregate of ten (10) Trading Days in any 365-day period or (B) the failure of the ADSs to be listed on an Eligible Market;</w:t>
      </w:r>
    </w:p>
    <w:p>
      <w:pPr>
        <w:spacing w:after="0" w:line="100" w:lineRule="exact"/>
        <w:rPr>
          <w:rFonts w:ascii="Times New Roman" w:cs="Times New Roman" w:eastAsia="Times New Roman" w:hAnsi="Times New Roman"/>
          <w:sz w:val="18"/>
          <w:szCs w:val="18"/>
          <w:color w:val="auto"/>
        </w:rPr>
      </w:pPr>
    </w:p>
    <w:p>
      <w:pPr>
        <w:ind w:left="2060" w:right="459" w:hanging="440"/>
        <w:spacing w:after="0" w:line="256" w:lineRule="auto"/>
        <w:tabs>
          <w:tab w:leader="none" w:pos="2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ADSs within ten (10) Business Days after the applicable Conversion Date or (B) written notice to any Holder, including by way of public announcement, or through any of its agents, at any time, of its intention not to comply with a request for conversion of any Series A Preferred Shares into ADSs that is tendered in accordance with the provisions of the Certificate of Designations, other than pursuant to the maximum percentage clause;</w:t>
      </w:r>
    </w:p>
    <w:p>
      <w:pPr>
        <w:spacing w:after="0" w:line="119" w:lineRule="exact"/>
        <w:rPr>
          <w:rFonts w:ascii="Times New Roman" w:cs="Times New Roman" w:eastAsia="Times New Roman" w:hAnsi="Times New Roman"/>
          <w:sz w:val="18"/>
          <w:szCs w:val="18"/>
          <w:color w:val="auto"/>
        </w:rPr>
      </w:pPr>
    </w:p>
    <w:p>
      <w:pPr>
        <w:ind w:left="2060" w:right="819" w:hanging="440"/>
        <w:spacing w:after="0" w:line="282" w:lineRule="auto"/>
        <w:tabs>
          <w:tab w:leader="none" w:pos="2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tenth (10th) consecutive Business Day that the Holder’s authorized share allocation is less than the Holder’s pro rata amount of the required reserve amount;</w:t>
      </w:r>
    </w:p>
    <w:p>
      <w:pPr>
        <w:spacing w:after="0" w:line="94" w:lineRule="exact"/>
        <w:rPr>
          <w:rFonts w:ascii="Times New Roman" w:cs="Times New Roman" w:eastAsia="Times New Roman" w:hAnsi="Times New Roman"/>
          <w:sz w:val="18"/>
          <w:szCs w:val="18"/>
          <w:color w:val="auto"/>
        </w:rPr>
      </w:pPr>
    </w:p>
    <w:p>
      <w:pPr>
        <w:ind w:left="2060" w:right="459" w:hanging="440"/>
        <w:spacing w:after="0" w:line="266" w:lineRule="auto"/>
        <w:tabs>
          <w:tab w:leader="none" w:pos="2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such Holder any amount of Stated Value, dividends, Late Charges, Redemption Price or other amounts when and as due under this Certificate of Designations or any other Transaction Document, except, in the case of a failure to pay dividends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99"/>
        <w:spacing w:after="0" w:line="282" w:lineRule="auto"/>
        <w:rPr>
          <w:sz w:val="20"/>
          <w:szCs w:val="20"/>
          <w:color w:val="auto"/>
        </w:rPr>
      </w:pPr>
      <w:r>
        <w:rPr>
          <w:rFonts w:ascii="Times New Roman" w:cs="Times New Roman" w:eastAsia="Times New Roman" w:hAnsi="Times New Roman"/>
          <w:sz w:val="18"/>
          <w:szCs w:val="18"/>
          <w:color w:val="auto"/>
        </w:rPr>
        <w:t>and/or Late Charges when and as due, in which case only if such failure continues for a period of at least an aggregate of ten (10) Business Days;</w:t>
      </w:r>
    </w:p>
    <w:p>
      <w:pPr>
        <w:spacing w:after="0" w:line="67" w:lineRule="exact"/>
        <w:rPr>
          <w:sz w:val="20"/>
          <w:szCs w:val="20"/>
          <w:color w:val="auto"/>
        </w:rPr>
      </w:pPr>
    </w:p>
    <w:p>
      <w:pPr>
        <w:ind w:left="2060" w:right="419" w:hanging="440"/>
        <w:spacing w:after="0" w:line="261"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with respect to any Indebtedness of the Company or any of its Subsidiaries having an outstanding principal amount of $25,000,000 or more, (a) an event of default that has caused the holders thereof to declare such Indebtedness to be due and payable prior to its stated maturity and/or (b) the failure to make a principal payment when due;</w:t>
      </w:r>
    </w:p>
    <w:p>
      <w:pPr>
        <w:spacing w:after="0" w:line="112" w:lineRule="exact"/>
        <w:rPr>
          <w:rFonts w:ascii="Times New Roman" w:cs="Times New Roman" w:eastAsia="Times New Roman" w:hAnsi="Times New Roman"/>
          <w:sz w:val="18"/>
          <w:szCs w:val="18"/>
          <w:color w:val="auto"/>
        </w:rPr>
      </w:pPr>
    </w:p>
    <w:p>
      <w:pPr>
        <w:ind w:left="2060" w:right="479" w:hanging="440"/>
        <w:spacing w:after="0" w:line="256"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Title 11, U.S. Code, or any similar federal, foreign or state law for the relief of debtors (collectively, “Bankruptcy Law”), (A) commences a voluntary case, (B) consents to the entry of an order for relief against it in an involuntary case, (C) consents to the appointment of a receiver, trustee, assignee, liquidator or similar official (a “Custodian”), (D) makes a general assignment for the benefit of its creditors or (E) admits in writing that it is generally unable to pay its debts as they become due;</w:t>
      </w:r>
    </w:p>
    <w:p>
      <w:pPr>
        <w:spacing w:after="0" w:line="322" w:lineRule="exact"/>
        <w:rPr>
          <w:rFonts w:ascii="Times New Roman" w:cs="Times New Roman" w:eastAsia="Times New Roman" w:hAnsi="Times New Roman"/>
          <w:sz w:val="18"/>
          <w:szCs w:val="18"/>
          <w:color w:val="auto"/>
        </w:rPr>
      </w:pPr>
    </w:p>
    <w:p>
      <w:pPr>
        <w:ind w:left="2060" w:right="539" w:hanging="440"/>
        <w:spacing w:after="0" w:line="261"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(A) is for relief against the Company or any of its Significant Subsidiaries in an involuntary case,</w:t>
      </w:r>
    </w:p>
    <w:p>
      <w:pPr>
        <w:ind w:left="206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appoints a Custodian of the Company or any of its Significant Subsidiaries or (C) orders the liquidation of the Company or any of its Significant Subsidiaries, and such order or decree remains unstayed and in effect for 60 consecutive days;</w:t>
      </w:r>
    </w:p>
    <w:p>
      <w:pPr>
        <w:spacing w:after="0" w:line="104" w:lineRule="exact"/>
        <w:rPr>
          <w:rFonts w:ascii="Times New Roman" w:cs="Times New Roman" w:eastAsia="Times New Roman" w:hAnsi="Times New Roman"/>
          <w:sz w:val="18"/>
          <w:szCs w:val="18"/>
          <w:color w:val="auto"/>
        </w:rPr>
      </w:pPr>
    </w:p>
    <w:p>
      <w:pPr>
        <w:ind w:left="2060" w:right="459" w:hanging="440"/>
        <w:spacing w:after="0" w:line="253"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$25,000,000 are rendered against the Company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$5,000,000 amount set forth above so long as the Company provides the Holders a written statement from such insurer or indemnity provider (which written statement shall be reasonably satisfactory to the Holders) to the effect that such judgment is covered by insurance or an indemnity and the Company or such Subsidiary (as the case may be) will receive the proceeds of such insurance or indemnity within thirty (30) days of the issuance of such judgment;</w:t>
      </w:r>
    </w:p>
    <w:p>
      <w:pPr>
        <w:spacing w:after="0" w:line="342"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occurs;</w:t>
      </w:r>
    </w:p>
    <w:p>
      <w:pPr>
        <w:spacing w:after="0" w:line="144" w:lineRule="exact"/>
        <w:rPr>
          <w:rFonts w:ascii="Times New Roman" w:cs="Times New Roman" w:eastAsia="Times New Roman" w:hAnsi="Times New Roman"/>
          <w:sz w:val="18"/>
          <w:szCs w:val="18"/>
          <w:color w:val="auto"/>
        </w:rPr>
      </w:pPr>
    </w:p>
    <w:p>
      <w:pPr>
        <w:ind w:left="2060" w:right="1039" w:hanging="440"/>
        <w:spacing w:after="0" w:line="266"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breaches: (A) any negative covenant set forth in Section 15 of the Certificate of Designation, or (B) any of the covenants set forth Sections 4(b), (h), (j), (k) or (n) of the Securities Purchase Agreement; and</w:t>
      </w:r>
    </w:p>
    <w:p>
      <w:pPr>
        <w:spacing w:after="0" w:line="94" w:lineRule="exact"/>
        <w:rPr>
          <w:rFonts w:ascii="Times New Roman" w:cs="Times New Roman" w:eastAsia="Times New Roman" w:hAnsi="Times New Roman"/>
          <w:sz w:val="18"/>
          <w:szCs w:val="18"/>
          <w:color w:val="auto"/>
        </w:rPr>
      </w:pPr>
    </w:p>
    <w:p>
      <w:pPr>
        <w:ind w:left="2060" w:right="479" w:hanging="440"/>
        <w:spacing w:after="0" w:line="255" w:lineRule="auto"/>
        <w:tabs>
          <w:tab w:leader="none" w:pos="2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breaches: (A) any affirmative covenant set forth in Section 16 of the Certificate of Designation, or (B) any of the covenants in Securities Purchase Agreement not enumerated in subsection (x) above, provided that any such breach would have a Material Adverse Effect and the Buyer shall be required to provide written notice to the Company of a Triggering Event under this section 6(x) and the Company shall have ten (10) days to cure, provided that the incident resulting in such breach would need to be disclosed in the Company’s filing with the SEC under the federal security laws.</w:t>
      </w:r>
    </w:p>
    <w:p>
      <w:pPr>
        <w:spacing w:after="0" w:line="119"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Alternate Conversion. </w:t>
      </w:r>
      <w:r>
        <w:rPr>
          <w:rFonts w:ascii="Times New Roman" w:cs="Times New Roman" w:eastAsia="Times New Roman" w:hAnsi="Times New Roman"/>
          <w:sz w:val="18"/>
          <w:szCs w:val="18"/>
          <w:color w:val="auto"/>
        </w:rPr>
        <w:t>At any time a Triggering Event has occurred and is continuing,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at such Holder’s option, convert (each, an “Alternate Conversion”, and the date of such Alternate Conversion, each, an “Alternate Conversion Date”) all, or any part of, the applicable Conversion Amount (such portion of the Conversion Amount subject to such Alternate Conversion, each, an “Alternate Conversion Amount”) into Class A Ordinary Shares by dividing (x) the applicable Conversion Amount, by</w:t>
      </w:r>
    </w:p>
    <w:p>
      <w:pPr>
        <w:spacing w:after="0" w:line="3" w:lineRule="exact"/>
        <w:rPr>
          <w:sz w:val="20"/>
          <w:szCs w:val="20"/>
          <w:color w:val="auto"/>
        </w:rPr>
      </w:pPr>
    </w:p>
    <w:p>
      <w:pPr>
        <w:ind w:left="1260" w:right="439"/>
        <w:spacing w:after="0"/>
        <w:tabs>
          <w:tab w:leader="none" w:pos="15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Conversion Price. Notwithstanding the foregoing, if the applicable Triggering Event giving rise to such Alternate Conversion has been cured or waived, such Holder shall not be entitled to the right of Alternate Conversion with respect to such Triggering Event that has been cured or waived. For the avoidance of doubt, the cure of any Triggering Event shall not affect any Alternate Conversions effected with respect to such Triggering Event prior to such cure. “Alternate Conversion Price” means, with respect to any Alternate Conversion, that price which shall be the lowest of (i) the applicable Conversion Price as in</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effect on the applicable Conversion Date of the applicable Alternate Conversion, (ii) 80% of the arithmetic average of the three (3) lowest daily Weighted Average Prices of the ADSs during the twenty (20) consecutive Trading Days immediately preceding the applicable Alternate Conversion Date, (iii) 80% of the Weighted Average Price of the ADSs on the applicable Alternate Conversion Date, (iv) 80% of the Weighted Average Price of the ADSs on the Trading Day immediately preceding the applicable Alternate Conversion Date and (v) 80% of the lowest daily Weighted Average Price of the ADSs during the twenty</w:t>
      </w:r>
    </w:p>
    <w:p>
      <w:pPr>
        <w:spacing w:after="0" w:line="5" w:lineRule="exact"/>
        <w:rPr>
          <w:sz w:val="20"/>
          <w:szCs w:val="20"/>
          <w:color w:val="auto"/>
        </w:rPr>
      </w:pPr>
    </w:p>
    <w:p>
      <w:pPr>
        <w:ind w:left="1260" w:right="479"/>
        <w:spacing w:after="0" w:line="245" w:lineRule="auto"/>
        <w:tabs>
          <w:tab w:leader="none" w:pos="16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on the date of the first occurrence of the Triggering Event giving rise to the applicable Alternate Conversion, inclusive, less the issuance fee. All such determinations shall be appropriately adjusted for any share dividend, share split, share combination, reclassification or similar transaction that proportionately decreases or increases the ADSs or Class A Ordinary Shares during such period.</w:t>
      </w:r>
    </w:p>
    <w:p>
      <w:pPr>
        <w:spacing w:after="0" w:line="321" w:lineRule="exact"/>
        <w:rPr>
          <w:sz w:val="20"/>
          <w:szCs w:val="20"/>
          <w:color w:val="auto"/>
        </w:rPr>
      </w:pPr>
    </w:p>
    <w:p>
      <w:pPr>
        <w:ind w:left="1620"/>
        <w:spacing w:after="0"/>
        <w:tabs>
          <w:tab w:leader="none" w:pos="3140" w:val="left"/>
        </w:tabs>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Upon the occurrence of a Triggering Event, the Company shall within one</w:t>
      </w:r>
    </w:p>
    <w:p>
      <w:pPr>
        <w:spacing w:after="0" w:line="18" w:lineRule="exact"/>
        <w:rPr>
          <w:sz w:val="20"/>
          <w:szCs w:val="20"/>
          <w:color w:val="auto"/>
        </w:rPr>
      </w:pPr>
    </w:p>
    <w:p>
      <w:pPr>
        <w:ind w:left="1260" w:right="459"/>
        <w:spacing w:after="0"/>
        <w:tabs>
          <w:tab w:leader="none" w:pos="15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deliver written notice thereof via electronic mail (a “Triggering Event Notice”) to the Holders. At any time after the earlier of a Holder’s receipt of a Triggering Event Notice or a Holder becoming aware of a Triggering Event, such Holder may require the Company to redeem (an “Triggering Event Redemption”) all or any portion of such Holder’s Series A Preferred Shares by delivering written notice thereof (the “Triggering Event Redemption Notice”) to the Company, which Triggering Event Redemption Notice shall indicate the number of such Holder’s Series A Preferred Shares that such Holder is electing to require the Company to redeem. Each Series A Preferred Share subject to redemption by the Company shall be redeemed by the Company in cash within five (5) Trading Days by wire transfer of immediately available funds at a price equal to 115% of the greater of (x) the Conversion Amount being redeemed and (y) the product of (A) the Conversion Amount being redeemed and (B) the quotient determined by dividing (I) the greatest closing sale price of the ADSs during the period beginning on the date immediately preceding such Triggering Event and ending on the date such Holder delivers the Triggering Event Redemption Notice, by (II) the lowest Alternate Conversion Price in effect during such period (the “Triggering Event Redemption Price”).</w:t>
      </w:r>
    </w:p>
    <w:p>
      <w:pPr>
        <w:spacing w:after="0" w:line="325"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Redemption upon Bankruptcy Triggering Event</w:t>
      </w:r>
      <w:r>
        <w:rPr>
          <w:rFonts w:ascii="Times New Roman" w:cs="Times New Roman" w:eastAsia="Times New Roman" w:hAnsi="Times New Roman"/>
          <w:sz w:val="18"/>
          <w:szCs w:val="18"/>
          <w:color w:val="auto"/>
        </w:rPr>
        <w:t>. Upon any Bankruptcy Triggering Event occurring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or following to the Maturity Date, the Company shall immediately redeem, in cash, each of the Series A Preferred Shares then outstanding at a redemption price equal to the applicable Triggering Event Redemption Price (calculated as if such Holder shall have delivered the Triggering Event Redemption Notice immediately prior to the occurrence of such Bankruptcy Triggering Event), without the requirement for any notice or demand or other action by any Holder or any other Person, provided that a Holder may, in its sole discretion, waive such right to receive payment upon a Bankruptcy Triggering Event, in whole or in part, and any such waiver shall not affect any other rights of such Holder or any other Holder hereunder, including any other rights in respect of such Bankruptcy Triggering Event, any right to conversion, and any right to payment of such Triggering Event Redemption Price to another Holder or any other Redemption Price, as applicable.</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 and Change of Control</w:t>
      </w:r>
    </w:p>
    <w:p>
      <w:pPr>
        <w:spacing w:after="0" w:line="146"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Fundamental Transaction means (i) that the Company shall,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including through subsidiaries, affiliates or otherwise, in one or more related transactions,</w:t>
      </w:r>
    </w:p>
    <w:p>
      <w:pPr>
        <w:spacing w:after="0" w:line="1" w:lineRule="exact"/>
        <w:rPr>
          <w:sz w:val="20"/>
          <w:szCs w:val="20"/>
          <w:color w:val="auto"/>
        </w:rPr>
      </w:pPr>
    </w:p>
    <w:p>
      <w:pPr>
        <w:ind w:left="1260" w:right="419"/>
        <w:spacing w:after="0"/>
        <w:tabs>
          <w:tab w:leader="none" w:pos="15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(whether or not the Company is the surviving corporation) another subject entity, or (b) sell, assign, transfer, convey or otherwise dispose of all or substantially all of the properties or assets of the Company or any of its “significant subsidiaries” (as​ defined in Rule 1-02 of Regulation S-X) to one or more subject entities, or (c) make, or allow one or more subject entities to make, or allow the Company to be subject to or have its Class A Ordinary Shares be subject to or party to one or more Subject Entities making, a purchase, tender or exchange offer that is accepted by the holders of at least either (1) 50% of the issued and outstanding Class A Ordinary Shares (2) 50% of the issued and outstanding Class A Ordinary Shares calculated as if any Class A Ordinary Shares held by all subject entities making or party to, or affiliated with any subject entities making or party to, such purchase, tender or exchange offer were not outstanding; or (3) such number of Class A Ordinary Shares such that all subject entities making or party to, or affiliated with any subject entity making or party to, such purchase, tender or exchange offer, become collectively the beneficial owners (as defined in Rule 13d-3 under the Exchange Act) of at least</w:t>
      </w:r>
    </w:p>
    <w:p>
      <w:pPr>
        <w:ind w:left="1260" w:right="47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issued and outstanding Class A Ordinary Shares, or (d) consummate a share purchase agreement or other business combination (including, without limitation, a reorganization,</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recapitalization, spin-off or scheme of arrangement) with one or more subject entities whereby such subject entities, individually or in the aggregate, acquire, either (1) at least 50% of the issued and outstanding Class A Ordinary Shares, (2) at least 50% of the issued and outstanding Class A Ordinary Shares calculated as if any Class A Ordinary Shares held by all the subject entities making or party to, or affiliated with any subject entity making or party to, such share purchase agreement or other business combination were not outstanding; or (3) such number of Class A Ordinary Shares such that the subject entities become collectively the beneficial owners (as defined in Rule 13d-3 under the Exchange Act) of at least 50% of the issued and outstanding Class A Ordinary Shares, or (e) reorganize, recapitalize or reclassify its Class A Ordinary Shares, (ii)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issued and outstanding Class A Ordinary Shares, merger, consolidation, business combination, reorganization, recapitalization, spin -off, scheme of arrangement, reorganization, recapitalization or reclassification or otherwise in any manner whatsoever, of either (a) at least 50% of the aggregate ordinary voting power represented by issued and outstanding Class A Ordinary Shares, (b) at least 50% of the aggregate ordinary voting power represented by issued and outstanding Class A Ordinary Shares not held by all such subject entities as of the subscription date calculated as if any Class A Ordinary Shares held by all such subject entities were not outstanding, or (c) a percentage of the aggregate ordinary voting power represented by issued and outstanding Class A Ordinary Shares or other equity securities of the Company sufficient to allow such subject entities to effect a statutory short form merger or other transaction requiring other shareholders of the Company to surrender their Class A Ordinary Shares without approval of the shareholders of the Company or (iii) that the Company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For the avoidance of doubt, any references herein to Class A Ordinary Shares shall include the Class A Ordinary Shares underlying ADSs.</w:t>
      </w:r>
    </w:p>
    <w:p>
      <w:pPr>
        <w:spacing w:after="0" w:line="33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Company shall not enter into or be party to a Fundamental Transaction unless the successor entity assumes in writing all of the obligations of the Company under the Certificate of Designations and the other Transaction Documents pursuant to written agreements in form and substance reasonably satisfactory to the required holders and approved by the required holders prior to such fundamental transaction, including agreements to deliver to each Holder in exchange for such Holder’s Series A Preferred Shares a security of the Successor Entity evidenced by a written instrument substantially similar in form and substance to the Certificate of Designations including, without limitation, having a stated value equal to the stated value and having similar conversion rights, dividend rights and ranking to the Series A Preferred Shares, and reasonably satisfactory to the Required Holders.</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Corporate Events</w:t>
      </w:r>
      <w:r>
        <w:rPr>
          <w:rFonts w:ascii="Times New Roman" w:cs="Times New Roman" w:eastAsia="Times New Roman" w:hAnsi="Times New Roman"/>
          <w:sz w:val="18"/>
          <w:szCs w:val="18"/>
          <w:color w:val="auto"/>
        </w:rPr>
        <w:t>. Prior to the occurrence or consummation of any Fundamental Transaction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holders of ADSs or Class A Ordinary Shares are entitled to receive securities, cash, assets or other property with respect to or in exchange for Class A Ordinary Shares (a “Corporate Event”), the Company shall make appropriate provision to ensure that, and any applicable Successor Entity or Successor Entities shall ensure that such Holder will thereafter have the right to receive at its option upon surrender of such Holder’s Series A Preferred Shares upon the occurrence or consummation of the Corporate Event, in lieu of the Class A Ordinary Shares (or other securities, cash, assets or other property) such Holder is entitled to receive upon the conversion of such Holder’s Series A Preferred Shares prior to such Corporate Event, such shares, securities, cash, assets or any other property whatsoever (including warrants or other purchase or subscription rights and any ADSs or Class A Ordinary Shares) which the Holders would have been entitled to receive upon the occurrence or consummation of such Corporate Event or the record, eligibility or other determination date for the event resulting in such Corporate Event, had such Holder’s Series A Preferred Shares been converted immediately prior to such Corporate Event or the record, eligibility or other determination date for the event resulting in such Corporate Event (without regard to any limitations on conversion, including without limitation, the Maximum Percentage) (provided, however, to the extent that a Holder’s right to receive any such shares of publicly traded common shares (or their</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equivalent) of the successor entity would result in such Holder and its other attribution parties exceeding the Maximum Percentage, then such Holder shall not be entitled to receive such shares to such extent (and shall not be entitled to beneficial ownership of such shares of publicly traded shares (or their equivalent) of the Successor Entity as a result of such consideration to such extent) and the portion of such shares shall be held in abeyance for such Holder until such time or times, as its right thereto would not result in such Holder and its other attribution parties exceeding the Maximum Percentage, at which time or times such Holder shall be delivered such shares to the extent as if there had been no such limitation).</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Change of Control means any Fundamental Transaction other than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the ADSs or Class A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No sooner than twenty (20) days nor later than fifteen (15) days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a Change of Control, but not prior to the public announcement of such Change of Control, the Company shall deliver written notice thereof via electronic mail to the Holders (a “Change of Control Notice”). At any time during the period beginning on the earlier to occur of (x) any agreement by the Company or any of its Subsidiaries, upon consummation of which the transaction contemplated thereby would reasonably be expected to result in a Change of Control, (y) a Holder becoming aware of a Change of Control if the Change of Control Notice is not delivered to such Holder in accordance with the immediately preceding sentence (as applicable) and (z) a Holder’s receipt of a Change of Control Notice and ending twenty (20) Trading Days after the date of the consummation of such Change of Control, such Holder may require the Company to redeem (a “Change of Control Redemption”) all or any portion of such Holder’s Series A Preferred Shares by delivering written notice thereof (“Change of Control Redemption Notice”) to the Company, which Change of Control Redemption Notice shall indicate the Conversion Amount such Holder is electing to require the Company to redeem. Each Series A Preferred Share subject to redemption by the Company shall be redeemed by the Company in cash by wire transfer of immediately available funds at a price equal to the sum of (i) 115% of the greater of (x) the Conversion Amount being redeemed and</w:t>
      </w:r>
    </w:p>
    <w:p>
      <w:pPr>
        <w:spacing w:after="0" w:line="5" w:lineRule="exact"/>
        <w:rPr>
          <w:sz w:val="20"/>
          <w:szCs w:val="20"/>
          <w:color w:val="auto"/>
        </w:rPr>
      </w:pPr>
    </w:p>
    <w:p>
      <w:pPr>
        <w:ind w:left="1520" w:hanging="260"/>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Conversion Amount being redeemed and (B) the quotient determined by dividing</w:t>
      </w:r>
    </w:p>
    <w:p>
      <w:pPr>
        <w:ind w:left="1260" w:right="5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greatest closing sale price of the ADSs divided by the ADS ratio during the period beginning on the date immediately preceding during the period beginning on the date immediately preceding the earlier to occur of (x) the consummation of the Change of Control and (y) the public announcement of such Change of Control and ending on the date such Holder delivers the Change of Control Redemption Notice, by (II) the lowest Conversion Price in effect during such period and (ii) any unpaid amounts owed to such Holder pursuant to any of the Transaction Documents (the “Change of Control Redemption Price”).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at any time after the subscription date we grant, issue or sell any options, convertible securities or rights to purchase shares, warrants, securities or other property pro rata to the record holders of ADSs or Class A Ordinary Shares, then the holders of Series A Preferred Shares will be entitled to acquire the aggregate purchase rights which such holder could have acquired if such holder had held the number of Class A Ordinary Shares (or ADSs corresponding to such Class A Ordinary Shares) acquirable upon complete conversion of the Series A Preferred Shares (without taking into account any limitations or restrictions on the convertibility of the Series A Preferred Shares and assuming for such purpose that the Series A Preferred Shares were converted at the Alternate Conversion Price as of the applicable record date) i immediately prior to the date on which a record is taken for the grant, issuance or sale of such purchase rights, or, if no such record is taken, the date as of which the record holders of ADSs or Class A Ordinary Shares are to be determined for the grant, issue or sale of such Purchase Rights, provided, however, that to the extent that a holder’s right to participate in any such purchase right would result in such holder and its other attribution parties exceeding the Maximum Percentage, then such holder shall not be entitled to participate in such purchase right to such extent and such purchase right to such extent shall be held in abeyance for such holder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until such time or times as its right thereto would not result in such holder and its other attribution parties exceeding the Maximum Percentage, at which time or times such holder shall be granted such right.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at any time the applicable Issuance Date, the ratio of Total Indebtedness (as defined below) as of such time of determination to the quotient of (x) the sum of the market capitalization for each Trading Day during the ten (10) consecutive Trading Day period ending on, and including, the trading day immediately preceding the applicable date of determination, divided by (y) ten (10), is equal to or greater than 25% (a “DTM Failure”), the Company shall promptly, and in any event within two (2) Business Days of a DTM Failure, deliver written notice of such DTM Failure to each Holder. From and after the DTM Trigger Date, each Holder shall have the right, in its sole and absolute discretion, to require that the Company redeem (a “Holder DTM Redemption”) all or any portion of the Holder’s Pro Rata Amount of the Conversion Amounts of ‘Series A Preferred Shares as necessary (after giving effect to such Holder DTM Redemption by the Holders) to cause the ratio of Total Indebtedness as of such time of determination to the quotient of</w:t>
      </w:r>
    </w:p>
    <w:p>
      <w:pPr>
        <w:spacing w:after="0" w:line="5" w:lineRule="exact"/>
        <w:rPr>
          <w:sz w:val="20"/>
          <w:szCs w:val="20"/>
          <w:color w:val="auto"/>
        </w:rPr>
      </w:pPr>
    </w:p>
    <w:p>
      <w:pPr>
        <w:ind w:left="1260" w:right="439"/>
        <w:spacing w:after="0" w:line="251" w:lineRule="auto"/>
        <w:tabs>
          <w:tab w:leader="none" w:pos="15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market capitalization for each trading day during the ten (10) consecutive trading day period ending on, and including, the trading day immediately preceding the applicable date of determination, divided by (y) ten (10), to equal 15% (each, an “Eligible DTM Redemption Amount”) by delivering written notice thereof (a “Holder DTM Redemption Notice” and the date such Holder delivers such notice to the Company, a “Holder DTM Redemption Notice Date”) to the Company which notice shall state (i) the number of Series A Preferred Shares that is being redeemed by such Holder corresponding to a Conversion Amount that does not exceed such Holder’s Eligible DTM Redemption Amount, (ii) the date on which such Holder DTM Redemption shall occur which date shall be not less than five (5) Business Days from the applicable Holder DTM Redemption Notice Date (a “Holder DTM Redemption Date”) and (iii) the wire instructions for the payment of the applicable Holder DTM Redemption Price (as defined below) to such Holder. The portion of such Holder’s Series A Preferred Shares subject to redemption shall be redeemed by the Company in cash at a price equal to the sum of (i) the Conversion Amount being redeemed, including, without limitation, any accrued and unpaid dividends on such Conversion Amount and any accrued and unpaid late charges on such Conversion Amount and dividends, if any, through the applicable Holder DTM Redemption Date and (ii) any unpaid amounts owed to such Holder pursuant to any of the Transaction Documents (a “Holder DTM Redemption Price”).</w:t>
      </w:r>
    </w:p>
    <w:p>
      <w:pPr>
        <w:spacing w:after="0" w:line="33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“Total Indebtedness” means the sum of (x) all Indebtedness of the Company and/or any of its subsidiaries, as applicable, (y) the Conversion Amount of all Series A Preferred Shares and (y) all trade payables and cash based obligations of the Company and/or any of its Subsidiaries, as applicable, in each case, outstanding as of the applicable date of determination; provided, however, that solely for purpose of this definition, Total Indebtedness (1) shall only include Indebtedness, trade payables and cash based obligations that bear interest or provide for an original issue discount or a redemption premium and (2) shall not include any customer pre-payments. “Indebtedness” means, without duplication (i) all indebtedness for borrowed money, (ii) all obligations issued, undertaken or assumed as the deferred purchase price of property or services, including (without limitation) “finance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finance lease, (vii) all Disqualified Equity Interests, (viii) all indebtedness referred to in clauses (i) through (vii)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(ix)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Contingent Obligations in respect of indebtedness or obligations of others of the kinds referred to in clauses</w:t>
      </w:r>
    </w:p>
    <w:p>
      <w:pPr>
        <w:spacing w:after="0" w:line="27" w:lineRule="exact"/>
        <w:rPr>
          <w:sz w:val="20"/>
          <w:szCs w:val="20"/>
          <w:color w:val="auto"/>
        </w:rPr>
      </w:pPr>
    </w:p>
    <w:p>
      <w:pPr>
        <w:ind w:left="1260" w:right="1099"/>
        <w:spacing w:after="0" w:line="245" w:lineRule="auto"/>
        <w:tabs>
          <w:tab w:leader="none" w:pos="14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above. Indebtedness mentioned in clauses (i) and (iv) are referred to collectively as Financial Indebtedness.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Redemptions</w:t>
      </w:r>
    </w:p>
    <w:p>
      <w:pPr>
        <w:spacing w:after="0" w:line="16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Mechanics</w:t>
      </w:r>
      <w:r>
        <w:rPr>
          <w:rFonts w:ascii="Times New Roman" w:cs="Times New Roman" w:eastAsia="Times New Roman" w:hAnsi="Times New Roman"/>
          <w:sz w:val="18"/>
          <w:szCs w:val="18"/>
          <w:color w:val="auto"/>
        </w:rPr>
        <w:t>. The Company shall deliver the applicable Triggering Event Redemption Price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within three (3) Business Days after the Company’s receipt of such Holder’s Triggering Event Redemption Notice; provided that upon a Bankruptcy Triggering Event, the Company shall deliver the applicable Bankruptcy Triggering Event Redemption Price (as applicable, the “Triggering Event Redemption Date”). If a Holder has submitted a Change of Control Redemption Notice, the Company shall deliver the applicable Change of Control Redemption Price to such Holder (i) concurrently with the consummation of such Change of Control if such notice is received prior to the consummation of such Change of Control and (ii) within three (3) Business Days after the Company’s receipt of such notice otherwise (such date, the “Change of Control Redemption Date”). The Company shall deliver the applicable Holder DTM Redemption Price to each Holder in cash on the applicable Holder DTM Redemption Date. The Company shall deliver the applicable Offer to Repurchase Redemption Price to each Holder in cash on the applicable Offer to Repurchase Redemption Date. The Company shall pay the applicable Redemption Price to the Holders in cash by wire transfer of immediately available funds pursuant to wire instructions provided by each of the Holders in writing to the Company on the applicable due date. In the event that the Company does not pay a Redemption Price to a Holder within the time period required, at any time thereafter and until the Company pays such unpaid Redemption Price in full, a Holder shall have the option, in lieu of redemption, to require the Company to promptly return to such Holder any or all of the Series A Preferred Shares that were submitted for redemption by such Holder and for which the applicable Redemption Price has not been paid. Upon the Company’s receipt of such notice, (i) the applicable Redemption Notice of such Holder shall be null and void with respect to such Series A Preferred Shares,</w:t>
      </w:r>
    </w:p>
    <w:p>
      <w:pPr>
        <w:spacing w:after="0" w:line="216" w:lineRule="exact"/>
        <w:rPr>
          <w:sz w:val="20"/>
          <w:szCs w:val="20"/>
          <w:color w:val="auto"/>
        </w:rPr>
      </w:pPr>
    </w:p>
    <w:p>
      <w:pPr>
        <w:ind w:left="1260" w:right="439"/>
        <w:spacing w:after="0" w:line="239" w:lineRule="auto"/>
        <w:tabs>
          <w:tab w:leader="none" w:pos="15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return any Series A Preferred Shares, or issue new Series A Preferred Share Certificates to such Holder representing such Conversion Amount to be redeemed and (iii) the Conversion Price of such returned or new Series A Preferred Shares shall be adjusted to the lesser of (A) the Conversion Price as in effect on the date on which the applicable Redemption Notice is voided and (B) the lowest Closing Bid Price of the ADSs divided by the ADS ratio during the period beginning on and including the date on which the applicable Redemption Notice is delivered to the Company and ending on and including the date on which the applicable Redemption Notice is voided. A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Insufficient Assets</w:t>
      </w:r>
      <w:r>
        <w:rPr>
          <w:rFonts w:ascii="Times New Roman" w:cs="Times New Roman" w:eastAsia="Times New Roman" w:hAnsi="Times New Roman"/>
          <w:sz w:val="18"/>
          <w:szCs w:val="18"/>
          <w:color w:val="auto"/>
        </w:rPr>
        <w:t>. If upon a Redemption Date, the assets of the Company are insufficient to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number of Series A Preferred Shares that it can redeem on such date pro rata among the Holders to be redeemed in proportion to the aggregate number of Series A Preferred Shares outstanding on the applicable Redemption Date and</w:t>
      </w:r>
    </w:p>
    <w:p>
      <w:pPr>
        <w:spacing w:after="0" w:line="1" w:lineRule="exact"/>
        <w:rPr>
          <w:sz w:val="20"/>
          <w:szCs w:val="20"/>
          <w:color w:val="auto"/>
        </w:rPr>
      </w:pPr>
    </w:p>
    <w:p>
      <w:pPr>
        <w:ind w:left="1260" w:right="499"/>
        <w:spacing w:after="0" w:line="241" w:lineRule="auto"/>
        <w:tabs>
          <w:tab w:leader="none" w:pos="15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applicable Redemption Date, at any time and from time to time when additional assets of the Company become available to pay the balance of the applicable Redemption Price of the Series A Preferred Shares, the Company shall use such assets, at the end of the then current fiscal quarter, to pay the balance of such Redemption Price of the Series A Preferred Shares, or such portion thereof for which assets are then available, on the basis set forth above at the applicable Redemption Price, and such assets will not be used prior to the end of such fiscal quarter for any other purpose. Dividends on the stated value of the Series A Preferred Shares that have not been redeemed shall continue to accrue until such time as the Company redeems the Series A Preferred Shares. The Company shall pay to each Holder the applicable Redemption Price for each Series A Preferred Share without regard to the legal availability of funds unless expressly prohibited by applicable law or unless the payment of the applicable Redemption Price could reasonably be expected to result in personal liability to the directors of the Company.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voting rights are carried by the Series A Preferred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Negative Covenants</w:t>
      </w:r>
    </w:p>
    <w:p>
      <w:pPr>
        <w:spacing w:after="0" w:line="160"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Until all of the Series A Preferred Shares have been converted, redeemed or otherwise satisfied in full in accordance with their terms, the Company shall not, and shall not permit any of its Subsidiaries, without the prior written consent of the Required Holders, to directly or indirectly:</w:t>
      </w:r>
    </w:p>
    <w:p>
      <w:pPr>
        <w:spacing w:after="0" w:line="88" w:lineRule="exact"/>
        <w:rPr>
          <w:sz w:val="20"/>
          <w:szCs w:val="20"/>
          <w:color w:val="auto"/>
        </w:rPr>
      </w:pPr>
    </w:p>
    <w:p>
      <w:pPr>
        <w:ind w:left="2060" w:hanging="440"/>
        <w:spacing w:after="0"/>
        <w:tabs>
          <w:tab w:leader="none" w:pos="2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other than Permitted Indebtedness;</w:t>
      </w:r>
    </w:p>
    <w:p>
      <w:pPr>
        <w:spacing w:after="0" w:line="158" w:lineRule="exact"/>
        <w:rPr>
          <w:sz w:val="20"/>
          <w:szCs w:val="20"/>
          <w:color w:val="auto"/>
        </w:rPr>
      </w:pPr>
    </w:p>
    <w:p>
      <w:pPr>
        <w:ind w:left="1700" w:right="679" w:firstLine="360"/>
        <w:spacing w:after="0" w:line="247" w:lineRule="auto"/>
        <w:rPr>
          <w:sz w:val="20"/>
          <w:szCs w:val="20"/>
          <w:color w:val="auto"/>
        </w:rPr>
      </w:pPr>
      <w:r>
        <w:rPr>
          <w:rFonts w:ascii="Times New Roman" w:cs="Times New Roman" w:eastAsia="Times New Roman" w:hAnsi="Times New Roman"/>
          <w:sz w:val="18"/>
          <w:szCs w:val="18"/>
          <w:color w:val="auto"/>
        </w:rPr>
        <w:t>“Permitted Indebtedness” means (i) trade payables incurred in the ordinary course of business consistent with past practice, (ii) Indebtedness incurred solely for the purpose of financing the acquisition or lease of equipment, (iii) the Indebtedness separately disclosed by Company to the Buyer, and (iv) Permitted Secured Indebtedness, provided, however, that in order for Permitted Secured Indebtedness to constitute Permitted Indebtedness hereunder, certain requirements listed in the Certificate of Designations need to be met.</w:t>
      </w:r>
    </w:p>
    <w:p>
      <w:pPr>
        <w:spacing w:after="0" w:line="112" w:lineRule="exact"/>
        <w:rPr>
          <w:sz w:val="20"/>
          <w:szCs w:val="20"/>
          <w:color w:val="auto"/>
        </w:rPr>
      </w:pPr>
    </w:p>
    <w:p>
      <w:pPr>
        <w:ind w:left="1700" w:right="439" w:firstLine="360"/>
        <w:spacing w:after="0" w:line="250" w:lineRule="auto"/>
        <w:rPr>
          <w:sz w:val="20"/>
          <w:szCs w:val="20"/>
          <w:color w:val="auto"/>
        </w:rPr>
      </w:pPr>
      <w:r>
        <w:rPr>
          <w:rFonts w:ascii="Times New Roman" w:cs="Times New Roman" w:eastAsia="Times New Roman" w:hAnsi="Times New Roman"/>
          <w:sz w:val="18"/>
          <w:szCs w:val="18"/>
          <w:color w:val="auto"/>
        </w:rPr>
        <w:t>“Permitted Secured Indebtedness” means Indebtedness incurred by the Company and/or any of its subsidiaries as borrower or guarantor under one or more asset-based credit facilities in an aggregate principal amount not to exceed US$25,000,000 outstanding at any time.</w:t>
      </w:r>
    </w:p>
    <w:p>
      <w:pPr>
        <w:spacing w:after="0" w:line="109" w:lineRule="exact"/>
        <w:rPr>
          <w:sz w:val="20"/>
          <w:szCs w:val="20"/>
          <w:color w:val="auto"/>
        </w:rPr>
      </w:pPr>
    </w:p>
    <w:p>
      <w:pPr>
        <w:ind w:left="2060" w:right="479" w:hanging="440"/>
        <w:spacing w:after="0" w:line="266" w:lineRule="auto"/>
        <w:tabs>
          <w:tab w:leader="none" w:pos="2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or suffer to exist any mortgage, lien, pledge, charge, security interest or other encumbrance (collectively, “Liens”) upon any property or assets owned by the Company or any of its Subsidiaries to secure Indebtedness other than Permitted Liens;</w:t>
      </w:r>
    </w:p>
    <w:p>
      <w:pPr>
        <w:spacing w:after="0" w:line="108" w:lineRule="exact"/>
        <w:rPr>
          <w:sz w:val="20"/>
          <w:szCs w:val="20"/>
          <w:color w:val="auto"/>
        </w:rPr>
      </w:pPr>
    </w:p>
    <w:p>
      <w:pPr>
        <w:ind w:left="1700" w:right="419" w:firstLine="360"/>
        <w:spacing w:after="0" w:line="241" w:lineRule="auto"/>
        <w:rPr>
          <w:sz w:val="20"/>
          <w:szCs w:val="20"/>
          <w:color w:val="auto"/>
        </w:rPr>
      </w:pPr>
      <w:r>
        <w:rPr>
          <w:rFonts w:ascii="Times New Roman" w:cs="Times New Roman" w:eastAsia="Times New Roman" w:hAnsi="Times New Roman"/>
          <w:sz w:val="18"/>
          <w:szCs w:val="18"/>
          <w:color w:val="auto"/>
        </w:rPr>
        <w:t>“Permitted Liens”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(v) Liens incurred in connection with the extension, renewal or refinancing of the Indebtedness secured by Liens of the type described in clause</w:t>
      </w:r>
    </w:p>
    <w:p>
      <w:pPr>
        <w:spacing w:after="0" w:line="8" w:lineRule="exact"/>
        <w:rPr>
          <w:sz w:val="20"/>
          <w:szCs w:val="20"/>
          <w:color w:val="auto"/>
        </w:rPr>
      </w:pPr>
    </w:p>
    <w:p>
      <w:pPr>
        <w:ind w:left="1700" w:right="419" w:hanging="8"/>
        <w:spacing w:after="0"/>
        <w:tabs>
          <w:tab w:leader="none" w:pos="202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 Triggering Event; (ix) Liens securing bitcoin mining machines that are subject to hosting agreements with third party vendors and (x) Liens securing Permitted Secured Indebtedness.</w:t>
      </w:r>
    </w:p>
    <w:p>
      <w:pPr>
        <w:spacing w:after="0" w:line="116" w:lineRule="exact"/>
        <w:rPr>
          <w:rFonts w:ascii="Times New Roman" w:cs="Times New Roman" w:eastAsia="Times New Roman" w:hAnsi="Times New Roman"/>
          <w:sz w:val="18"/>
          <w:szCs w:val="18"/>
          <w:color w:val="auto"/>
        </w:rPr>
      </w:pPr>
    </w:p>
    <w:p>
      <w:pPr>
        <w:ind w:left="2060" w:right="459" w:hanging="440"/>
        <w:spacing w:after="0" w:line="258"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Series A Preferred Shares in accordance with the terms of the Certificate of Designations, redeem or repurchase its equity interest (except (i) on a pro rata basis among all holders thereof and (ii) redemptions or repurchases of Equity Interests held by any current or former, officer, director, employee or consultant (or permitted transferees, estates or heirs of any of the foregoing) pursuant to any Approved Share Plan);</w:t>
      </w:r>
    </w:p>
    <w:p>
      <w:pPr>
        <w:spacing w:after="0" w:line="115" w:lineRule="exact"/>
        <w:rPr>
          <w:rFonts w:ascii="Times New Roman" w:cs="Times New Roman" w:eastAsia="Times New Roman" w:hAnsi="Times New Roman"/>
          <w:sz w:val="18"/>
          <w:szCs w:val="18"/>
          <w:color w:val="auto"/>
        </w:rPr>
      </w:pPr>
    </w:p>
    <w:p>
      <w:pPr>
        <w:ind w:left="2060" w:right="1199" w:hanging="440"/>
        <w:spacing w:after="0" w:line="266"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Series A Preferred Shares (other than as contemplated by the Securities Purchase Agreement), or issue any other securities that would cause a breach or default under the Certificate of Designations;</w:t>
      </w:r>
    </w:p>
    <w:p>
      <w:pPr>
        <w:spacing w:after="0" w:line="94" w:lineRule="exact"/>
        <w:rPr>
          <w:rFonts w:ascii="Times New Roman" w:cs="Times New Roman" w:eastAsia="Times New Roman" w:hAnsi="Times New Roman"/>
          <w:sz w:val="18"/>
          <w:szCs w:val="18"/>
          <w:color w:val="auto"/>
        </w:rPr>
      </w:pPr>
    </w:p>
    <w:p>
      <w:pPr>
        <w:ind w:left="2060" w:right="499" w:hanging="440"/>
        <w:spacing w:after="0" w:line="282"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create (by reclassification or otherwise), or authorize the creation of, or issue or obligate itself to issue additional or other share capital of the Company or securities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060" w:right="679"/>
        <w:spacing w:after="0" w:line="261" w:lineRule="auto"/>
        <w:rPr>
          <w:sz w:val="20"/>
          <w:szCs w:val="20"/>
          <w:color w:val="auto"/>
        </w:rPr>
      </w:pPr>
      <w:r>
        <w:rPr>
          <w:rFonts w:ascii="Times New Roman" w:cs="Times New Roman" w:eastAsia="Times New Roman" w:hAnsi="Times New Roman"/>
          <w:sz w:val="18"/>
          <w:szCs w:val="18"/>
          <w:color w:val="auto"/>
        </w:rPr>
        <w:t>exchangeable for or convertible or exercisable into share capital of the Company whether such share capital is Pari Passu Shares or ranks senior to the Series A Preferred Shares prior and in preference to the Series A Preferred Shares in respect of the preferences as to distributions, the payment of dividends and payments upon a Liquidation Event;</w:t>
      </w:r>
    </w:p>
    <w:p>
      <w:pPr>
        <w:spacing w:after="0" w:line="112" w:lineRule="exact"/>
        <w:rPr>
          <w:sz w:val="20"/>
          <w:szCs w:val="20"/>
          <w:color w:val="auto"/>
        </w:rPr>
      </w:pPr>
    </w:p>
    <w:p>
      <w:pPr>
        <w:ind w:left="2060" w:right="619" w:hanging="440"/>
        <w:spacing w:after="0" w:line="256" w:lineRule="auto"/>
        <w:tabs>
          <w:tab w:leader="none" w:pos="2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insist upon, plead, or in any manner whatsoever claim or take the benefit or advantage of, any stay, extension or usury law (wherever or whenever enacted or in force) that may affect the covenants or the performance of the terms and conditions set forth in the Certificate of Designations or resort to any such law, to hinder, delay or impede the execution of any power granted to any Holder pursuant to the Certificate of Designations, but will suffer and permit the execution of every such power as though no such law has been enacted;</w:t>
      </w:r>
    </w:p>
    <w:p>
      <w:pPr>
        <w:spacing w:after="0" w:line="119" w:lineRule="exact"/>
        <w:rPr>
          <w:rFonts w:ascii="Times New Roman" w:cs="Times New Roman" w:eastAsia="Times New Roman" w:hAnsi="Times New Roman"/>
          <w:sz w:val="18"/>
          <w:szCs w:val="18"/>
          <w:color w:val="auto"/>
        </w:rPr>
      </w:pPr>
    </w:p>
    <w:p>
      <w:pPr>
        <w:ind w:left="2060" w:right="539" w:hanging="440"/>
        <w:spacing w:after="0" w:line="261" w:lineRule="auto"/>
        <w:tabs>
          <w:tab w:leader="none" w:pos="2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enter into an agreement to effect any Subsequent Placement involving a Variable Rate Transaction without the prior written consent of the Required Holders and the Holders shall be entitled to obtain injunctive relief against the Company and its Subsidiaries to preclude any such issuance, which remedy shall be in addition to any right to collect damages; or</w:t>
      </w:r>
    </w:p>
    <w:p>
      <w:pPr>
        <w:spacing w:after="0" w:line="112" w:lineRule="exact"/>
        <w:rPr>
          <w:sz w:val="20"/>
          <w:szCs w:val="20"/>
          <w:color w:val="auto"/>
        </w:rPr>
      </w:pPr>
    </w:p>
    <w:p>
      <w:pPr>
        <w:ind w:left="1700" w:right="679" w:firstLine="360"/>
        <w:spacing w:after="0" w:line="254" w:lineRule="auto"/>
        <w:rPr>
          <w:sz w:val="20"/>
          <w:szCs w:val="20"/>
          <w:color w:val="auto"/>
        </w:rPr>
      </w:pPr>
      <w:r>
        <w:rPr>
          <w:rFonts w:ascii="Times New Roman" w:cs="Times New Roman" w:eastAsia="Times New Roman" w:hAnsi="Times New Roman"/>
          <w:sz w:val="18"/>
          <w:szCs w:val="18"/>
          <w:color w:val="auto"/>
        </w:rPr>
        <w:t>“Subsequent Placement” means any transaction (or series of related transactions) in which the Company or any subsidiary offers, sells, grants any option to purchase, or otherwise disposes of (or announces any offer, sale, grant or any option to purchase or other disposition of) any of its or any subsidiary’s debt, equity or equity equivalent securities, including without limitation any debt, preferred shares or other instrument or security that is, at any time during its life and under any circumstances, convertible into or exchangeable or exercisable for ADSs, Class A Ordinary Shares, options or convertible securities; provided, however, that the incurrence of Permitted Secured Indebtedness shall not constitute a Subsequent Placement.</w:t>
      </w:r>
    </w:p>
    <w:p>
      <w:pPr>
        <w:spacing w:after="0" w:line="111"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“Variable Rate Transaction” means a transaction in which the Company or any of its Subsidiaries</w:t>
      </w:r>
    </w:p>
    <w:p>
      <w:pPr>
        <w:spacing w:after="0" w:line="27" w:lineRule="exact"/>
        <w:rPr>
          <w:sz w:val="20"/>
          <w:szCs w:val="20"/>
          <w:color w:val="auto"/>
        </w:rPr>
      </w:pPr>
    </w:p>
    <w:p>
      <w:pPr>
        <w:ind w:left="1700" w:right="499" w:hanging="8"/>
        <w:spacing w:after="0" w:line="251" w:lineRule="auto"/>
        <w:tabs>
          <w:tab w:leader="none" w:pos="19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sells securities in an at-the-market, equity line of credit facility or similar agreement, other than pursuant to the Company’s Existing ATM, (ii) issues or sells any convertible securities or options either (A) at a conversion, exercise or exchange rate or other price that is based upon and/or varies with the trading prices of or quotations for the ADSs or Class A Ordinary Shares at any time after the initial issuance of such Convertible Securities or Options, or (B) with a conversion, exercise or exchange price that is subject to being reset at some future date after the initial issuance of such convertible securities or options or upon the occurrence of specified or contingent events directly or indirectly related to the business of the Company or the market for the ADSs or Class A Ordinary Shares, other than pursuant to a customary “weighted average” anti-dilution provision or (iii) enters into any agreement whereby the Company or any subsidiary may sell securities at a future determined price (other than standard and customary “preemptive” or “participation” rights); provided, however, that issuances of securities under an approved share plan shall not be deemed a Variable Rate Transaction.</w:t>
      </w:r>
    </w:p>
    <w:p>
      <w:pPr>
        <w:spacing w:after="0" w:line="337" w:lineRule="exact"/>
        <w:rPr>
          <w:sz w:val="20"/>
          <w:szCs w:val="20"/>
          <w:color w:val="auto"/>
        </w:rPr>
      </w:pPr>
    </w:p>
    <w:p>
      <w:pPr>
        <w:ind w:left="1700" w:right="57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ATM</w:t>
      </w:r>
      <w:r>
        <w:rPr>
          <w:rFonts w:ascii="Times New Roman" w:cs="Times New Roman" w:eastAsia="Times New Roman" w:hAnsi="Times New Roman"/>
          <w:sz w:val="18"/>
          <w:szCs w:val="18"/>
          <w:color w:val="auto"/>
        </w:rPr>
        <w:t>” means that (i) that certain At Market Issuance Sales Agreement dated as of November 10, 2023 by and between the Company and B. Riley Securities, Inc., as may be amended after the Subscription Date (“</w:t>
      </w:r>
      <w:r>
        <w:rPr>
          <w:rFonts w:ascii="Times New Roman" w:cs="Times New Roman" w:eastAsia="Times New Roman" w:hAnsi="Times New Roman"/>
          <w:sz w:val="18"/>
          <w:szCs w:val="18"/>
          <w:b w:val="1"/>
          <w:bCs w:val="1"/>
          <w:color w:val="auto"/>
        </w:rPr>
        <w:t>B. Riley ATM</w:t>
      </w:r>
      <w:r>
        <w:rPr>
          <w:rFonts w:ascii="Times New Roman" w:cs="Times New Roman" w:eastAsia="Times New Roman" w:hAnsi="Times New Roman"/>
          <w:sz w:val="18"/>
          <w:szCs w:val="18"/>
          <w:color w:val="auto"/>
        </w:rPr>
        <w:t>”), provided such amendment does not increase the aggregate price of ADSs that the Company may sell under the B. Riley ATM to a price exceeding $148 million, and (ii) any other At The Market Offering Agreement that may be entered into by the Company and one or more placement agents appointed by the Company (“</w:t>
      </w:r>
      <w:r>
        <w:rPr>
          <w:rFonts w:ascii="Times New Roman" w:cs="Times New Roman" w:eastAsia="Times New Roman" w:hAnsi="Times New Roman"/>
          <w:sz w:val="18"/>
          <w:szCs w:val="18"/>
          <w:b w:val="1"/>
          <w:bCs w:val="1"/>
          <w:color w:val="auto"/>
        </w:rPr>
        <w:t>Alternative ATM</w:t>
      </w:r>
      <w:r>
        <w:rPr>
          <w:rFonts w:ascii="Times New Roman" w:cs="Times New Roman" w:eastAsia="Times New Roman" w:hAnsi="Times New Roman"/>
          <w:sz w:val="18"/>
          <w:szCs w:val="18"/>
          <w:color w:val="auto"/>
        </w:rPr>
        <w:t>”), provided that the aggregate number of ADSs or Class A Ordinary Shares that the Company may sell under the B. Riley ATM and the Alternative ATM does not exceed the remaining amount of ADSs or Class A Ordinary Shares that the Company may sell under the B. Riley ATM as of the Subscription Date. Notwithstanding of the foregoing, upon the completion of the Second Closing, the Company may elect to sell under the B. Riley ATM to a price amount exceeding $148 million.</w:t>
      </w:r>
    </w:p>
    <w:p>
      <w:pPr>
        <w:spacing w:after="0" w:line="119" w:lineRule="exact"/>
        <w:rPr>
          <w:sz w:val="20"/>
          <w:szCs w:val="20"/>
          <w:color w:val="auto"/>
        </w:rPr>
      </w:pPr>
    </w:p>
    <w:p>
      <w:pPr>
        <w:ind w:left="1700" w:right="559" w:firstLine="360"/>
        <w:spacing w:after="0" w:line="282" w:lineRule="auto"/>
        <w:rPr>
          <w:sz w:val="20"/>
          <w:szCs w:val="20"/>
          <w:color w:val="auto"/>
        </w:rPr>
      </w:pPr>
      <w:r>
        <w:rPr>
          <w:rFonts w:ascii="Times New Roman" w:cs="Times New Roman" w:eastAsia="Times New Roman" w:hAnsi="Times New Roman"/>
          <w:sz w:val="18"/>
          <w:szCs w:val="18"/>
          <w:color w:val="auto"/>
        </w:rPr>
        <w:t>“Required Holders” means the Holders representing at least a majority of the aggregate Series A Preferred Shares then outstanding and shall include the Buyer.</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guarantee or secure the indebtedness of any of its Significant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Affirmative Covenants</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Until all of the Series A Preferred Shares have been converted, redeemed or otherwise satisfied in full in accordance with their terms, the Company shall, and shall cause each significant subsidiary to, unless otherwise agreed to by the Required Holders:</w:t>
      </w:r>
    </w:p>
    <w:p>
      <w:pPr>
        <w:spacing w:after="0" w:line="108" w:lineRule="exact"/>
        <w:rPr>
          <w:sz w:val="20"/>
          <w:szCs w:val="20"/>
          <w:color w:val="auto"/>
        </w:rPr>
      </w:pPr>
    </w:p>
    <w:p>
      <w:pPr>
        <w:ind w:left="2060" w:right="479" w:hanging="440"/>
        <w:spacing w:after="0" w:line="258"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its existence, rights and privileges, and become or remain duly qualified and in good standing (where such concept is applicable) in each jurisdiction in which the character of the properties owned or leased by it or in which the transaction of its business makes such qualification necessary, except in the case that any such failure to so maintain, preserve or comply has not had and is not reasonably likely to have, a Material Adverse Effect;</w:t>
      </w:r>
    </w:p>
    <w:p>
      <w:pPr>
        <w:spacing w:after="0" w:line="115" w:lineRule="exact"/>
        <w:rPr>
          <w:rFonts w:ascii="Times New Roman" w:cs="Times New Roman" w:eastAsia="Times New Roman" w:hAnsi="Times New Roman"/>
          <w:sz w:val="18"/>
          <w:szCs w:val="18"/>
          <w:color w:val="auto"/>
        </w:rPr>
      </w:pPr>
    </w:p>
    <w:p>
      <w:pPr>
        <w:ind w:left="2060" w:right="459" w:hanging="440"/>
        <w:spacing w:after="0" w:line="256"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in the case that any such failure to so maintain, preserve or comply has not had, and is not reasonably likely to have, a Material Adverse Effect;</w:t>
      </w:r>
    </w:p>
    <w:p>
      <w:pPr>
        <w:spacing w:after="0" w:line="106" w:lineRule="exact"/>
        <w:rPr>
          <w:rFonts w:ascii="Times New Roman" w:cs="Times New Roman" w:eastAsia="Times New Roman" w:hAnsi="Times New Roman"/>
          <w:sz w:val="18"/>
          <w:szCs w:val="18"/>
          <w:color w:val="auto"/>
        </w:rPr>
      </w:pPr>
    </w:p>
    <w:p>
      <w:pPr>
        <w:ind w:left="2060" w:right="699" w:hanging="440"/>
        <w:spacing w:after="0" w:line="282"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 necessary or advisable to maintain all of the Intellectual Property rights that are necessary or material to the conduct of its business in full force and effect;</w:t>
      </w:r>
    </w:p>
    <w:p>
      <w:pPr>
        <w:spacing w:after="0" w:line="94" w:lineRule="exact"/>
        <w:rPr>
          <w:rFonts w:ascii="Times New Roman" w:cs="Times New Roman" w:eastAsia="Times New Roman" w:hAnsi="Times New Roman"/>
          <w:sz w:val="18"/>
          <w:szCs w:val="18"/>
          <w:color w:val="auto"/>
        </w:rPr>
      </w:pPr>
    </w:p>
    <w:p>
      <w:pPr>
        <w:ind w:left="2060" w:right="519" w:hanging="440"/>
        <w:spacing w:after="0" w:line="261"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or be covered by, insurance by insurers of recognized financial responsibility in such amounts and covering such losses and risks, including, but not limited to, directors and officers insurance coverage, as is adequate for the conduct of their respective businesses and the value of their respective properties and as is customary for companies engaged in similar businesses;</w:t>
      </w:r>
    </w:p>
    <w:p>
      <w:pPr>
        <w:spacing w:after="0" w:line="112" w:lineRule="exact"/>
        <w:rPr>
          <w:rFonts w:ascii="Times New Roman" w:cs="Times New Roman" w:eastAsia="Times New Roman" w:hAnsi="Times New Roman"/>
          <w:sz w:val="18"/>
          <w:szCs w:val="18"/>
          <w:color w:val="auto"/>
        </w:rPr>
      </w:pPr>
    </w:p>
    <w:p>
      <w:pPr>
        <w:ind w:left="2060" w:right="459" w:hanging="440"/>
        <w:spacing w:after="0" w:line="266"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engage an independent auditor to audit its financial statements that is registered with (and in compliance with the rules and regulations of) the Public Company Accounting Oversight Board;</w:t>
      </w:r>
    </w:p>
    <w:p>
      <w:pPr>
        <w:spacing w:after="0" w:line="94" w:lineRule="exact"/>
        <w:rPr>
          <w:rFonts w:ascii="Times New Roman" w:cs="Times New Roman" w:eastAsia="Times New Roman" w:hAnsi="Times New Roman"/>
          <w:sz w:val="18"/>
          <w:szCs w:val="18"/>
          <w:color w:val="auto"/>
        </w:rPr>
      </w:pPr>
    </w:p>
    <w:p>
      <w:pPr>
        <w:ind w:left="2060" w:right="659" w:hanging="440"/>
        <w:spacing w:after="0" w:line="254"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Adverse Effect) and</w:t>
      </w:r>
    </w:p>
    <w:p>
      <w:pPr>
        <w:spacing w:after="0" w:line="3" w:lineRule="exact"/>
        <w:rPr>
          <w:rFonts w:ascii="Times New Roman" w:cs="Times New Roman" w:eastAsia="Times New Roman" w:hAnsi="Times New Roman"/>
          <w:sz w:val="18"/>
          <w:szCs w:val="18"/>
          <w:color w:val="auto"/>
        </w:rPr>
      </w:pPr>
    </w:p>
    <w:p>
      <w:pPr>
        <w:ind w:left="2060" w:right="559" w:hanging="8"/>
        <w:spacing w:after="0" w:line="253" w:lineRule="auto"/>
        <w:tabs>
          <w:tab w:leader="none" w:pos="232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on or before the due date therefor all personal property tax returns (except where the failure to file would not, individually or in the aggregate, have a Material Adverse Effect); provided, however that the Company and its Subsidiaries may contest, in good faith and by appropriate proceedings, taxes for which they maintain adequate reserves therefor in accordance with GAAP;</w:t>
      </w:r>
    </w:p>
    <w:p>
      <w:pPr>
        <w:spacing w:after="0" w:line="337" w:lineRule="exact"/>
        <w:rPr>
          <w:rFonts w:ascii="Times New Roman" w:cs="Times New Roman" w:eastAsia="Times New Roman" w:hAnsi="Times New Roman"/>
          <w:sz w:val="18"/>
          <w:szCs w:val="18"/>
          <w:color w:val="auto"/>
        </w:rPr>
      </w:pPr>
    </w:p>
    <w:p>
      <w:pPr>
        <w:ind w:left="2060" w:right="959" w:hanging="440"/>
        <w:spacing w:after="0" w:line="282"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 all benefits or advantages of any stay, extension or usury law (wherever or whenever enacted or in force);</w:t>
      </w:r>
    </w:p>
    <w:p>
      <w:pPr>
        <w:spacing w:after="0" w:line="94" w:lineRule="exact"/>
        <w:rPr>
          <w:rFonts w:ascii="Times New Roman" w:cs="Times New Roman" w:eastAsia="Times New Roman" w:hAnsi="Times New Roman"/>
          <w:sz w:val="18"/>
          <w:szCs w:val="18"/>
          <w:color w:val="auto"/>
        </w:rPr>
      </w:pPr>
    </w:p>
    <w:p>
      <w:pPr>
        <w:ind w:left="2060" w:right="419" w:hanging="440"/>
        <w:spacing w:after="0" w:line="255"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(i) on or prior to the date that is ninety (90) days immediately following the end of each Calendar Quarter following the first Issuance Date occurring hereunder, report in the Company’s Annual Report on Form 20-F or Report of Foreign Private Issuer on Form 6-K, the Company’s quarterly “cash operating expenses” (or​ other similar term) for the immediately preceding Calendar Quarter and (ii) maintain (on a consolidated basis) at all times on deposit unrestricted cash in an aggregate amount equal to not less than such quarterly “cash operating expenses” (or​ other similar term) (the “Minimum Cash Reserve Requirement”);</w:t>
      </w:r>
    </w:p>
    <w:p>
      <w:pPr>
        <w:spacing w:after="0" w:line="107" w:lineRule="exact"/>
        <w:rPr>
          <w:rFonts w:ascii="Times New Roman" w:cs="Times New Roman" w:eastAsia="Times New Roman" w:hAnsi="Times New Roman"/>
          <w:sz w:val="18"/>
          <w:szCs w:val="18"/>
          <w:color w:val="auto"/>
        </w:rPr>
      </w:pPr>
    </w:p>
    <w:p>
      <w:pPr>
        <w:ind w:left="2060" w:right="519" w:hanging="440"/>
        <w:spacing w:after="0" w:line="275"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notify the Holders in writing whenever a Triggering Event or DTM Failure occurs or whenever the Company fails to meet the Minimum Cash Reserve Requirement; and</w:t>
      </w:r>
    </w:p>
    <w:p>
      <w:pPr>
        <w:spacing w:after="0" w:line="322" w:lineRule="exact"/>
        <w:rPr>
          <w:rFonts w:ascii="Times New Roman" w:cs="Times New Roman" w:eastAsia="Times New Roman" w:hAnsi="Times New Roman"/>
          <w:sz w:val="18"/>
          <w:szCs w:val="18"/>
          <w:color w:val="auto"/>
        </w:rPr>
      </w:pPr>
    </w:p>
    <w:p>
      <w:pPr>
        <w:ind w:left="2060" w:right="439" w:hanging="440"/>
        <w:spacing w:after="0" w:line="266" w:lineRule="auto"/>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elect to follow home country practice in lieu of any rules and regulations of the Principal Market (or other then applicable Eligible Market) that would limit the Company’s ability to effect the provisions of the Certificate of designations, including but not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599"/>
        <w:spacing w:after="0" w:line="282" w:lineRule="auto"/>
        <w:rPr>
          <w:sz w:val="20"/>
          <w:szCs w:val="20"/>
          <w:color w:val="auto"/>
        </w:rPr>
      </w:pPr>
      <w:r>
        <w:rPr>
          <w:rFonts w:ascii="Times New Roman" w:cs="Times New Roman" w:eastAsia="Times New Roman" w:hAnsi="Times New Roman"/>
          <w:sz w:val="18"/>
          <w:szCs w:val="18"/>
          <w:color w:val="auto"/>
        </w:rPr>
        <w:t>limited to shareholder approval rules related to the issuance of securities or adjustment of terms of the Certificate of Designations for the benefit of the Holders.</w:t>
      </w:r>
    </w:p>
    <w:p>
      <w:pPr>
        <w:spacing w:after="0" w:line="81" w:lineRule="exact"/>
        <w:rPr>
          <w:sz w:val="20"/>
          <w:szCs w:val="20"/>
          <w:color w:val="auto"/>
        </w:rPr>
      </w:pPr>
    </w:p>
    <w:p>
      <w:pPr>
        <w:ind w:left="2060" w:right="879"/>
        <w:spacing w:after="0" w:line="266" w:lineRule="auto"/>
        <w:rPr>
          <w:sz w:val="20"/>
          <w:szCs w:val="20"/>
          <w:color w:val="auto"/>
        </w:rPr>
      </w:pPr>
      <w:r>
        <w:rPr>
          <w:rFonts w:ascii="Times New Roman" w:cs="Times New Roman" w:eastAsia="Times New Roman" w:hAnsi="Times New Roman"/>
          <w:sz w:val="18"/>
          <w:szCs w:val="18"/>
          <w:color w:val="auto"/>
        </w:rPr>
        <w:t>“Eligible Market” means the Principal Market, The New York Stock Exchange, The Nasdaq Capital Market, The Nasdaq Global Select Market, or the NYSE American.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to any other rights provided by law, except where the vote or written consent of the holders of a greater number of shares is required by law or by another provision of the Memorandum and Articles of Association, the affirmative vote at a general meeting duly called for such purpose or the written consent without a meeting of the Required Holders, voting together as a single class, and without requiring the vote of any other class, including without limitation, without requiring the vote of any class of Ordinary Shares, shall be required before the Company may: (a) amend or repeal any provision of, or add any provision to, the Memorandum and Articles of Association or bylaws,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A Preferred Shares, regardless of whether any such action shall be by means of amendment to the Memorandum and Articles of Association or by merger, consolidation or otherwise;</w:t>
      </w:r>
    </w:p>
    <w:p>
      <w:pPr>
        <w:spacing w:after="0" w:line="1" w:lineRule="exact"/>
        <w:rPr>
          <w:sz w:val="20"/>
          <w:szCs w:val="20"/>
          <w:color w:val="auto"/>
        </w:rPr>
      </w:pPr>
    </w:p>
    <w:p>
      <w:pPr>
        <w:ind w:left="1520" w:hanging="260"/>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(other than by conversion) the authorized number of Series A Preferred Shares; or</w:t>
      </w:r>
    </w:p>
    <w:p>
      <w:pPr>
        <w:jc w:val="both"/>
        <w:ind w:left="1260" w:right="619"/>
        <w:spacing w:after="0" w:line="242" w:lineRule="auto"/>
        <w:tabs>
          <w:tab w:leader="none" w:pos="15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any provision of the Certificate of Designations with respect to the Series A Preferred Shares. Any such amendment or waiver to this Memorandum and Articles of Association shall be binding on all Holders. No such amendment or waiver shall be effective to the extent that it applies to less than all of the Holders.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Certificate of Designations shall be construed and enforced in accordance with, and all questions concerning the construction, validity, interpretation and performance of the Certificate of Designations shall be governed by, the internal laws of the Cayman Islands, without giving effect to any choice of law or conflict of law provision or rule (whether of the Cayman Islands or any other jurisdictions) that would cause the application of the laws of any jurisdictions other than the Cayman Islands. The Company hereby irrevocably submits to the exclusive jurisdiction of the courts of the Cayman Islands,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listed in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Holders from bringing suit or taking other legal action against the Company in any other jurisdiction to collect on the Company’s obligations to the Holders, to realize on any collateral or any other security for such obligations, or to enforce a judgment or other court ruling in favor of the Holders. The Company hereby irrevocably waives any right it may have, and agrees not to request, a jury trial for the adjudication of any dispute hereunder or in connection with or arising out of the certificate of designations or any transaction contemplated hereby.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are an exempted company with limited liability duly incorporated and validly existing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given for up to 30 years);</w:t>
      </w:r>
    </w:p>
    <w:p>
      <w:pPr>
        <w:spacing w:after="0" w:line="53"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Upon the closing of this offering, we will be subject to reporting and other informational requirements of the Exchange Act, as applicable to foreign private issuers. We may follow the home country practice for certain corporate governance practices after the closing of this offering which may differ from the Nasdaq Stock Market Rules. The Nasdaq Stock Market Rules require that every company listed on the Nasdaq Global Market hold an annual general meeting of shareholders. In addition, our articles of association allow our directors to call extraordinary general meetings of our shareholders pursuant to the procedures set forth in our articles of association.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but does not follow recent statutory enactments in England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laws applicable to companies incorporated in the State of Delaware.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Cayman Companies Act permits mergers and consolidations between the Cayman Islands companies and between the Cayman Islands companies and the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325"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0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of a constituent company is required unless this requirement is waived by a court in the Cayman Islands.</w:t>
      </w:r>
    </w:p>
    <w:p>
      <w:pPr>
        <w:spacing w:after="0" w:line="9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spacing w:after="0" w:line="32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Cayman Companies Act also contain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 or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87" w:lineRule="exact"/>
        <w:rPr>
          <w:sz w:val="20"/>
          <w:szCs w:val="20"/>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Companies Act.</w:t>
      </w:r>
    </w:p>
    <w:p>
      <w:pPr>
        <w:spacing w:after="0" w:line="9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Cayman Companies Act also contains a statutory power of compulsory acquisition which may facilitate the “squeeze out” of dissenting minority shareholder upon a tender offer. When a tender offer is made and accepted by holders of 90% of the shares affected within four months of the offer being made,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an arrangement and reconstruction by the way of scheme of arrangement is thus approved,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6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 can be expected to follow and apply the common law principles (namely the rule in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the company to challenge:</w:t>
      </w:r>
    </w:p>
    <w:p>
      <w:pPr>
        <w:spacing w:after="0" w:line="39" w:lineRule="exact"/>
        <w:rPr>
          <w:sz w:val="20"/>
          <w:szCs w:val="20"/>
          <w:color w:val="auto"/>
        </w:rPr>
      </w:pPr>
    </w:p>
    <w:p>
      <w:pPr>
        <w:ind w:left="1800" w:right="10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illegal or ultra vires with respect to the company and is therefore incapable of ratification by the shareholders;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requires authorization by a qualified (or special) majority (that is, more than a simple majority) which has not been obtained;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2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w:t>
      </w:r>
    </w:p>
    <w:p>
      <w:pPr>
        <w:spacing w:after="0" w:line="148"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Some provisions of our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32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However, under the Cayman Islands law, our directors may only exercise the rights and powers granted to them under our articles of association, as amended and restated from time to time, for a proper purpose and in what they believe in good faith to be in the best interests of our company.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w:t>
      </w:r>
    </w:p>
    <w:p>
      <w:pPr>
        <w:spacing w:after="0" w:line="2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acts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0" w:lineRule="auto"/>
        <w:rPr>
          <w:sz w:val="20"/>
          <w:szCs w:val="20"/>
          <w:color w:val="auto"/>
        </w:rPr>
      </w:pPr>
      <w:r>
        <w:rPr>
          <w:rFonts w:ascii="Times New Roman" w:cs="Times New Roman" w:eastAsia="Times New Roman" w:hAnsi="Times New Roman"/>
          <w:sz w:val="18"/>
          <w:szCs w:val="18"/>
          <w:color w:val="auto"/>
        </w:rPr>
        <w:t>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1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fiduciary with respect to the company and therefore it is considered that he owes the following duties to the company — a duty to act bona fide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in aggregate not less than one -third of the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Our articles of association provide no other right to put any proposals before annual general meetings or extraordinary general meetings. As a Cayman Islands exempted company, we are not obligated by law to call shareholders’ annual general meetings.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 Cayman Islands law does not prohibit cumulative voting, but our articles of association do not provide for cumulative voting. As a result, our shareholders are not afforded any fewer protections or rights on this issue than shareholders of a Delaware corporation.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by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agreement between the company and the director, if any;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articles of association.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w:t>
      </w:r>
    </w:p>
    <w:p>
      <w:pPr>
        <w:spacing w:after="0" w:line="3"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32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fiduciary duties owed by our directors do require that such transactions must be entered into bona fide in the best interests of the company and for a proper corporate purpose and not with the effect of constituting a fraud on the minority shareholders.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81" w:lineRule="exact"/>
        <w:rPr>
          <w:sz w:val="20"/>
          <w:szCs w:val="20"/>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4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Cayman Companies Act, our company may be wound up by either a special resolution of our shareholders or, if our company is unable to pay its debts as they fall due, by an ordinary resolution of our shareholders. In addition, a company may be wound up by an order of the courts of the Cayman Islands. The court has authority to order winding up in a number of specified circumstances including where it is, in the opinion of the court, just and equitable to do so.</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articles of association, if our share capital is divided into more than one class of shares, we may materially and adversely vary the rights attached to any class only with the consent in writing of the holders of not less than two-thirds of the issued shares of that class or with the sanction of an ordinary resolution passed at a separate meeting of the holders of the shares of that class.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Cayman Companies Act and our articles of association, our memorandum and articles of association may only be amended by special resolution of our shareholders.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There are no limitations imposed by our articles of association on the rights of non-resident or foreign shareholders to hold or exercise voting rights on our shares. In addition, there are no provisions in our articles of association that require the Company to disclose shareholder ownership above any particular ownership threshold.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Under our articles of association, our board of directors is empowered to issue or allot shares or grant options, restricted shares, RSUs, share appreciation rights, dividend equivalent rights, warrants and analogous equity-based rights with or without preferred, deferred, qualified or other special rights or restrictions. In particular, pursuant to our articles of association, our board of directors has the authority, without further action by the shareholders, to issue all or any part of our capital and to fix the designations, powers, preferences, privileges, and relative participating, optional or special rights and the qualifications, limitations or restrictions therefrom, including dividend rights, conversion rights, voting rights, terms of redemption and liquidation preferences, any or all of which may be greater than the rights of our ordinary shares.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Series A Preferred Shares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April 8, 2022, we entered into an at the market offering agreement (as amended by the Amendment No. 1 to ATM Agreement dated as of November 23, 2022 and as may be further amended, supplemented or otherwise modified from time to time, the “ATM Agreement”), with H.C. Wainwright &amp; Co., LLC, acting as our sole sales agent (the “Sales Agent”), relating to the sale of ADSs, each representing 15 Class A ordinary shares, par value of $0.00000005 per share (the “ATM Offering”). Effective November 10, 2023,</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we terminated the ATM Agreement with H.C. Wainwright &amp; Co., LLC. At the time of such termination, we had received net proceeds of approximately US$4.2 million from the sale of 1,532,219 ADSs.</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November 10, 2023, we entered into an At Market Issuance Sales Agreement (the “New ATM Agreement”) with B. Riley Securities, Inc. as a sales agent (the “New Sales Agent”) . From November 10, 2023 to December 31, 2023, we utilized the New ATM Program for fundraising and sold 31,347,044 ADSs with net proceeds of approximately US$61.2 million at an average price of US$1.99 per ADS.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27, 2023, we entered into a Securities Purchase Agreement with an institutional investor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“Buyer”), pursuant to which we shall issue and sell to the Buyer up to 125,000 Series A Preferred</w:t>
      </w:r>
    </w:p>
    <w:p>
      <w:pPr>
        <w:ind w:left="1260"/>
        <w:spacing w:after="0"/>
        <w:rPr>
          <w:sz w:val="20"/>
          <w:szCs w:val="20"/>
          <w:color w:val="auto"/>
        </w:rPr>
      </w:pPr>
      <w:r>
        <w:rPr>
          <w:rFonts w:ascii="Times New Roman" w:cs="Times New Roman" w:eastAsia="Times New Roman" w:hAnsi="Times New Roman"/>
          <w:sz w:val="18"/>
          <w:szCs w:val="18"/>
          <w:color w:val="auto"/>
        </w:rPr>
        <w:t>Shares at the price of US$1,000.00 for each Preferred Share. On December 11, 2023, we closed the first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tranche of the preferred shares financing (the “First Closing”), raising total net proceeds of approximately</w:t>
      </w:r>
    </w:p>
    <w:p>
      <w:pPr>
        <w:ind w:left="1260"/>
        <w:spacing w:after="0" w:line="234" w:lineRule="auto"/>
        <w:rPr>
          <w:sz w:val="20"/>
          <w:szCs w:val="20"/>
          <w:color w:val="auto"/>
        </w:rPr>
      </w:pPr>
      <w:r>
        <w:rPr>
          <w:rFonts w:ascii="Times New Roman" w:cs="Times New Roman" w:eastAsia="Times New Roman" w:hAnsi="Times New Roman"/>
          <w:sz w:val="18"/>
          <w:szCs w:val="18"/>
          <w:color w:val="auto"/>
        </w:rPr>
        <w:t>US$24.6 million. At the First Closing, we issued 25,000 Preferred Shares in total at the price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US$1,000.00 per Preferred Share. In connection with the issuance of the Preferred Shares, we caused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 of New York Mellon to deliver 8,000,000 ADSs collectively as pre-delivery shares (the “Pre-delivery</w:t>
      </w:r>
    </w:p>
    <w:p>
      <w:pPr>
        <w:ind w:left="1260"/>
        <w:spacing w:after="0" w:line="234" w:lineRule="auto"/>
        <w:rPr>
          <w:sz w:val="20"/>
          <w:szCs w:val="20"/>
          <w:color w:val="auto"/>
        </w:rPr>
      </w:pPr>
      <w:r>
        <w:rPr>
          <w:rFonts w:ascii="Times New Roman" w:cs="Times New Roman" w:eastAsia="Times New Roman" w:hAnsi="Times New Roman"/>
          <w:sz w:val="18"/>
          <w:szCs w:val="18"/>
          <w:color w:val="auto"/>
        </w:rPr>
        <w:t>Shares”), each representing 15 Class A ordinary shares of us, at the price of US$0.00000075 for each ADS.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January 22, 2024, we closed the second tranches of the preferred shares financing, raising total net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of approximately US$49.9 million. Pursuant to the second tranche preferred shares financing, we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issued 50,000 Preferred Shares in total at the price of US$1,000.00 per Preferred Share and caused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 of New York Mellon to deliver an addition 2,800,000 ADSs collectively as pre-delivery shares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(together with the8,000,000 ADSs issued at the First Closing, the “Pre-delivery Shares”), each representing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15 Class A ordinary shares of us, at the price of US$0.00000075 for each ADS. The Pre-delivery Shares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be returned to us at the end of the arrangement and we shall pay such Buyer US$0.00000075 for each</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Pre-delivery Share.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Warrant Repurchase</w:t>
      </w:r>
    </w:p>
    <w:p>
      <w:pPr>
        <w:spacing w:after="0" w:line="16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On April 29, 2021, we entered into a securities purchase agreement with certain institutional investors for a registered direct placement of approximately $170.0 million of our ADS, each ADS representing 15 Class A ordinary shares of us, par value US$ 0.00000005 per share, or US$12.60 per ADS. We have also agreed to issue to the investors warrants (the “Warrants”) to purchase up to an aggregate of 4,047,620 ADSs (representing 60,714,300 Class A Ordinary Shares), at an exercise price of $16.38 per ADS, which Warrants will have a term of three years from the date of issuance. Additionally, we issued to the placement agents of the registered direct placement (the “Placement Agents”) warrants to purchase 674,603 ADSs on substantially the same terms as the warrants sold in this offering, except that the Placement Agent warrants are exercisable at $15.75 per ADS and shall not be transferable, with limited exceptions, for a period of</w:t>
      </w:r>
    </w:p>
    <w:p>
      <w:pPr>
        <w:spacing w:after="0" w:line="7" w:lineRule="exact"/>
        <w:rPr>
          <w:sz w:val="20"/>
          <w:szCs w:val="20"/>
          <w:color w:val="auto"/>
        </w:rPr>
      </w:pPr>
    </w:p>
    <w:p>
      <w:pPr>
        <w:ind w:left="1260" w:right="559"/>
        <w:spacing w:after="0" w:line="246" w:lineRule="auto"/>
        <w:rPr>
          <w:sz w:val="20"/>
          <w:szCs w:val="20"/>
          <w:color w:val="auto"/>
        </w:rPr>
      </w:pPr>
      <w:r>
        <w:rPr>
          <w:rFonts w:ascii="Times New Roman" w:cs="Times New Roman" w:eastAsia="Times New Roman" w:hAnsi="Times New Roman"/>
          <w:sz w:val="18"/>
          <w:szCs w:val="18"/>
          <w:color w:val="auto"/>
        </w:rPr>
        <w:t>180 days. On June 23, 2022, we entered into agreements with the above warrant holders to repurchase all the aforementioned 4,722,223 outstanding warrants of us for an aggregate purchase price of approximately US$6.61 million. The transaction closed in June 2022, upon which the warrant liability was extinguished.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announced a share repurchase program approved by our board of directors on September 8, 2020, under which we may repurchase up to US$10 million worth of our outstanding ADSs and/or Class A ordinary shares over a period of twelve months. In addition, we announced a new share repurchase program approved by our board of directors on September 20, 2021, under which we may repurchase up to US$20 million worth of our outstanding ADSs and/or Class A ordinary shares over a period of</w:t>
      </w:r>
    </w:p>
    <w:p>
      <w:pPr>
        <w:spacing w:after="0" w:line="3"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twelve months. On March 16, 2022, we announced another share repurchase program approved by our board of directors, under which we may repurchase up to US$100 million worth of our outstanding ADSs and/or Class A ordinary shares over a period of twenty-four months. The repurchases have been through various means, including open market transactions at prevailing market prices, privately negotiated transactions, block trades or any combination thereof. The repurchases have been, and will be, effected in compliance with Rule 10b5-1 and/or Rule 10b-18 under the Exchange Act, and our insider trading policy. The number of ADSs repurchased and the timing of repurchases depends on a number of factors, including, but not limited to, price, trading volume and general market conditions, along with our working capital requirements and general business conditions. As of the date of this prospectus, our repurchase under the abovementioned share repurchase programs has come to an end.</w:t>
      </w: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162" w:lineRule="exact"/>
        <w:rPr>
          <w:sz w:val="20"/>
          <w:szCs w:val="20"/>
          <w:color w:val="auto"/>
        </w:rPr>
      </w:pPr>
    </w:p>
    <w:p>
      <w:pPr>
        <w:ind w:left="1260" w:right="419"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granted options to purchase our ordinary shares and awards to certain of our executive officers and employees. See “Item 6. Directors, Senior Management and Employees — B. Compensation — Share Incentive Plan” in our </w:t>
      </w:r>
      <w:hyperlink r:id="rId32">
        <w:r>
          <w:rPr>
            <w:rFonts w:ascii="Times New Roman" w:cs="Times New Roman" w:eastAsia="Times New Roman" w:hAnsi="Times New Roman"/>
            <w:sz w:val="18"/>
            <w:szCs w:val="18"/>
            <w:u w:val="single" w:color="auto"/>
            <w:color w:val="0000EE"/>
          </w:rPr>
          <w:t>annual report on Form 20-F for the fiscal year ended December 31, 2023</w:t>
        </w:r>
      </w:hyperlink>
      <w:r>
        <w:rPr>
          <w:rFonts w:ascii="Times New Roman" w:cs="Times New Roman" w:eastAsia="Times New Roman" w:hAnsi="Times New Roman"/>
          <w:sz w:val="18"/>
          <w:szCs w:val="18"/>
          <w:color w:val="auto"/>
        </w:rPr>
        <w:t>,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Each ADS will represent 15 Class A ordinary shares (or a right to receive 15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is located at 240 Greenwich Street, New York, New York 10286.</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32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94"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 The rights of holders of Class A ordinary shares (including Class A ordinary shares represented by ADSs) are governed by the laws of the Cayman Islands.</w:t>
      </w:r>
    </w:p>
    <w:p>
      <w:pPr>
        <w:spacing w:after="0" w:line="12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See “Where You Can Find More Information” for directions on how to obtain copies of those documents.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32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on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1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 during a time when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depositary cannot convert the foreign currency, you may lose some of the value of the distribution.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may distribute additional ADSs representing any shares we distribute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3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securities any rights to subscribe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or any other rights, the depositary may (i) exercise those rights on behalf of ADS holders,</w:t>
      </w:r>
    </w:p>
    <w:p>
      <w:pPr>
        <w:spacing w:after="0" w:line="1" w:lineRule="exact"/>
        <w:rPr>
          <w:sz w:val="20"/>
          <w:szCs w:val="20"/>
          <w:color w:val="auto"/>
        </w:rPr>
      </w:pPr>
    </w:p>
    <w:p>
      <w:pPr>
        <w:ind w:left="1260" w:right="519"/>
        <w:spacing w:after="0"/>
        <w:tabs>
          <w:tab w:leader="none" w:pos="15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8"/>
          <w:szCs w:val="18"/>
          <w:i w:val="1"/>
          <w:iCs w:val="1"/>
          <w:color w:val="auto"/>
        </w:rPr>
        <w:t>In that case, you will receive no value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them. </w:t>
      </w:r>
      <w:r>
        <w:rPr>
          <w:rFonts w:ascii="Times New Roman" w:cs="Times New Roman" w:eastAsia="Times New Roman" w:hAnsi="Times New Roman"/>
          <w:sz w:val="18"/>
          <w:szCs w:val="18"/>
          <w:color w:val="auto"/>
        </w:rPr>
        <w:t>The depositary will exercise or distribute rights only if we ask it to and provide satisfactory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will send to ADS holders anything else we distribute on deposited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324"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w:t>
      </w:r>
    </w:p>
    <w:p>
      <w:pPr>
        <w:ind w:left="1260" w:right="479"/>
        <w:spacing w:after="0"/>
        <w:rPr>
          <w:sz w:val="20"/>
          <w:szCs w:val="20"/>
          <w:color w:val="auto"/>
        </w:rPr>
      </w:pPr>
      <w:r>
        <w:rPr>
          <w:rFonts w:ascii="Times New Roman" w:cs="Times New Roman" w:eastAsia="Times New Roman" w:hAnsi="Times New Roman"/>
          <w:sz w:val="18"/>
          <w:szCs w:val="18"/>
          <w:color w:val="auto"/>
        </w:rPr>
        <w:t xml:space="preserve">ADSs, shares, rights or anything else to ADS holders. </w:t>
      </w:r>
      <w:r>
        <w:rPr>
          <w:rFonts w:ascii="Times New Roman" w:cs="Times New Roman" w:eastAsia="Times New Roman" w:hAnsi="Times New Roman"/>
          <w:sz w:val="18"/>
          <w:szCs w:val="18"/>
          <w:i w:val="1"/>
          <w:iCs w:val="1"/>
          <w:color w:val="auto"/>
        </w:rPr>
        <w:t>This means that you may not receive the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make on our shares or any value for them if it is illegal or impractical for us to make them available to you</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4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spacing w:after="0" w:line="86"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receive a proxy to vote uninstructed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reasonably do not know of any substantial shareholder opposition to the proxy item(s);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item(s) is not materially adverse to the interests of shareholders,</w:t>
      </w:r>
    </w:p>
    <w:p>
      <w:pPr>
        <w:spacing w:after="0" w:line="144" w:lineRule="exact"/>
        <w:rPr>
          <w:sz w:val="20"/>
          <w:szCs w:val="20"/>
          <w:color w:val="auto"/>
        </w:rPr>
      </w:pPr>
    </w:p>
    <w:p>
      <w:pPr>
        <w:ind w:left="1260" w:right="559"/>
        <w:spacing w:after="0" w:line="259" w:lineRule="auto"/>
        <w:rPr>
          <w:sz w:val="20"/>
          <w:szCs w:val="20"/>
          <w:color w:val="auto"/>
        </w:rPr>
      </w:pPr>
      <w:r>
        <w:rPr>
          <w:rFonts w:ascii="Times New Roman" w:cs="Times New Roman" w:eastAsia="Times New Roman" w:hAnsi="Times New Roman"/>
          <w:sz w:val="18"/>
          <w:szCs w:val="18"/>
          <w:color w:val="auto"/>
        </w:rPr>
        <w:t>then the depositary will consider you to have authorized and directed it to give a discretionary proxy to a person designated by us to vote the number of deposited securities represented by your ADSs as to the proxy item(s). If we do not request the depositary to solicit your voting instructions, you can still send voting instructions, and, in that case, the depositary may try to vote as you instruct, but it is not required to do so.</w:t>
      </w:r>
    </w:p>
    <w:p>
      <w:pPr>
        <w:spacing w:after="0" w:line="333"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Except by instructing the depositary as described above, you won’t be able to exercise voting rights unless you surrender your ADSs and withdraw the shares. However, you may not know about the meeting enough in advance to withdraw the shares</w:t>
      </w:r>
      <w:r>
        <w:rPr>
          <w:rFonts w:ascii="Times New Roman" w:cs="Times New Roman" w:eastAsia="Times New Roman" w:hAnsi="Times New Roman"/>
          <w:sz w:val="18"/>
          <w:szCs w:val="18"/>
          <w:color w:val="auto"/>
        </w:rPr>
        <w:t>. In any event, the depositary will not exercise any discretion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deposited securities and it will only vote or attempt to vote as instructed.</w:t>
      </w:r>
    </w:p>
    <w:p>
      <w:pPr>
        <w:spacing w:after="0" w:line="114"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be able to exercise voting rights and there may be nothing you can do if your shares are not voted as you requested.</w:t>
      </w:r>
    </w:p>
    <w:p>
      <w:pPr>
        <w:spacing w:after="0" w:line="32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98" w:lineRule="exact"/>
        <w:rPr>
          <w:sz w:val="20"/>
          <w:szCs w:val="20"/>
          <w:color w:val="auto"/>
        </w:rPr>
      </w:pPr>
    </w:p>
    <w:p>
      <w:pPr>
        <w:ind w:left="1260" w:right="6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ADS holders must pay:</w:t>
      </w:r>
    </w:p>
    <w:p>
      <w:pPr>
        <w:ind w:left="1260"/>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$5.00 (or less) per 100 ADSs (or portion of 100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4" w:hanging="104"/>
        <w:spacing w:after="0"/>
        <w:tabs>
          <w:tab w:leader="none" w:pos="104"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For:</w:t>
      </w:r>
    </w:p>
    <w:p>
      <w:pPr>
        <w:spacing w:after="0" w:line="269" w:lineRule="exact"/>
        <w:rPr>
          <w:rFonts w:ascii="Times New Roman" w:cs="Times New Roman" w:eastAsia="Times New Roman" w:hAnsi="Times New Roman"/>
          <w:sz w:val="18"/>
          <w:szCs w:val="18"/>
          <w:b w:val="1"/>
          <w:bCs w:val="1"/>
          <w:i w:val="1"/>
          <w:iCs w:val="1"/>
          <w:color w:val="auto"/>
        </w:rPr>
      </w:pPr>
    </w:p>
    <w:p>
      <w:pPr>
        <w:ind w:left="224" w:hanging="224"/>
        <w:spacing w:after="0" w:line="212" w:lineRule="auto"/>
        <w:tabs>
          <w:tab w:leader="none" w:pos="116" w:val="left"/>
        </w:tabs>
        <w:numPr>
          <w:ilvl w:val="0"/>
          <w:numId w:val="6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Issuance of ADSs, including issuances resulting from a distribution of shares or rights or other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576" w:lineRule="exact"/>
        <w:rPr>
          <w:sz w:val="20"/>
          <w:szCs w:val="20"/>
          <w:color w:val="auto"/>
        </w:rPr>
      </w:pPr>
    </w:p>
    <w:p>
      <w:pPr>
        <w:sectPr>
          <w:pgSz w:w="11900" w:h="16838" w:orient="portrait"/>
          <w:cols w:equalWidth="0" w:num="3">
            <w:col w:w="4860" w:space="396"/>
            <w:col w:w="3844" w:space="36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ind w:left="12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ADS holders must pay:</w:t>
      </w:r>
    </w:p>
    <w:p>
      <w:pPr>
        <w:spacing w:after="0" w:line="20" w:lineRule="exact"/>
        <w:rPr>
          <w:sz w:val="20"/>
          <w:szCs w:val="20"/>
          <w:color w:val="auto"/>
        </w:rPr>
      </w:pPr>
      <w:r>
        <w:rPr>
          <w:sz w:val="20"/>
          <w:szCs w:val="20"/>
          <w:color w:val="auto"/>
        </w:rPr>
        <w:br w:type="column"/>
      </w:r>
    </w:p>
    <w:p>
      <w:pPr>
        <w:ind w:left="220" w:right="359" w:hanging="215"/>
        <w:spacing w:after="0" w:line="203"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Cancelation of ADSs for the purpose of withdrawal,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including if the deposit agreement terminates</w:t>
      </w:r>
    </w:p>
    <w:p>
      <w:pPr>
        <w:spacing w:after="0" w:line="48"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35"/>
          <w:szCs w:val="35"/>
          <w:b w:val="1"/>
          <w:bCs w:val="1"/>
          <w:i w:val="1"/>
          <w:iCs w:val="1"/>
          <w:color w:val="auto"/>
          <w:vertAlign w:val="superscript"/>
        </w:rPr>
        <w:t>​ ​</w:t>
      </w:r>
      <w:r>
        <w:rPr>
          <w:rFonts w:ascii="Times New Roman" w:cs="Times New Roman" w:eastAsia="Times New Roman" w:hAnsi="Times New Roman"/>
          <w:sz w:val="18"/>
          <w:szCs w:val="18"/>
          <w:b w:val="1"/>
          <w:bCs w:val="1"/>
          <w:i w:val="1"/>
          <w:iCs w:val="1"/>
          <w:color w:val="auto"/>
        </w:rPr>
        <w:t xml:space="preserve"> For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36"/>
          <w:szCs w:val="36"/>
          <w:b w:val="1"/>
          <w:bCs w:val="1"/>
          <w:i w:val="1"/>
          <w:iCs w:val="1"/>
          <w:color w:val="auto"/>
          <w:vertAlign w:val="superscript"/>
        </w:rPr>
        <w:t>​</w:t>
      </w:r>
    </w:p>
    <w:p>
      <w:pPr>
        <w:spacing w:after="0" w:line="123" w:lineRule="exact"/>
        <w:rPr>
          <w:sz w:val="20"/>
          <w:szCs w:val="20"/>
          <w:color w:val="auto"/>
        </w:rPr>
      </w:pPr>
    </w:p>
    <w:p>
      <w:pPr>
        <w:sectPr>
          <w:pgSz w:w="11900" w:h="16838" w:orient="portrait"/>
          <w:cols w:equalWidth="0" w:num="2">
            <w:col w:w="4800" w:space="460"/>
            <w:col w:w="4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1"/>
        </w:trPr>
        <w:tc>
          <w:tcPr>
            <w:tcW w:w="3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Any cash distribution to ADS holders</w:t>
            </w:r>
          </w:p>
        </w:tc>
        <w:tc>
          <w:tcPr>
            <w:tcW w:w="0" w:type="dxa"/>
            <w:vAlign w:val="bottom"/>
          </w:tcPr>
          <w:p>
            <w:pPr>
              <w:spacing w:after="0"/>
              <w:rPr>
                <w:sz w:val="1"/>
                <w:szCs w:val="1"/>
                <w:color w:val="auto"/>
              </w:rPr>
            </w:pPr>
          </w:p>
        </w:tc>
      </w:tr>
      <w:tr>
        <w:trPr>
          <w:trHeight w:val="184"/>
        </w:trPr>
        <w:tc>
          <w:tcPr>
            <w:tcW w:w="3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$.05 (or less) per ADS</w:t>
            </w:r>
          </w:p>
        </w:tc>
        <w:tc>
          <w:tcPr>
            <w:tcW w:w="220" w:type="dxa"/>
            <w:vAlign w:val="bottom"/>
          </w:tcPr>
          <w:p>
            <w:pPr>
              <w:spacing w:after="0"/>
              <w:rPr>
                <w:sz w:val="16"/>
                <w:szCs w:val="16"/>
                <w:color w:val="auto"/>
              </w:rPr>
            </w:pP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Distribution of securities distributed to holders of</w:t>
            </w:r>
          </w:p>
        </w:tc>
        <w:tc>
          <w:tcPr>
            <w:tcW w:w="0" w:type="dxa"/>
            <w:vAlign w:val="bottom"/>
          </w:tcPr>
          <w:p>
            <w:pPr>
              <w:spacing w:after="0"/>
              <w:rPr>
                <w:sz w:val="1"/>
                <w:szCs w:val="1"/>
                <w:color w:val="auto"/>
              </w:rPr>
            </w:pPr>
          </w:p>
        </w:tc>
      </w:tr>
      <w:tr>
        <w:trPr>
          <w:trHeight w:val="103"/>
        </w:trPr>
        <w:tc>
          <w:tcPr>
            <w:tcW w:w="39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A fee equivalent to the fee that would be payable if</w:t>
            </w:r>
          </w:p>
        </w:tc>
        <w:tc>
          <w:tcPr>
            <w:tcW w:w="22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distributed to you had been shares and the</w:t>
            </w:r>
          </w:p>
        </w:tc>
        <w:tc>
          <w:tcPr>
            <w:tcW w:w="2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shares had been deposited for issuance of ADSs</w:t>
            </w:r>
          </w:p>
        </w:tc>
        <w:tc>
          <w:tcPr>
            <w:tcW w:w="220" w:type="dxa"/>
            <w:vAlign w:val="bottom"/>
          </w:tcPr>
          <w:p>
            <w:pPr>
              <w:spacing w:after="0"/>
              <w:rPr>
                <w:sz w:val="20"/>
                <w:szCs w:val="20"/>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Depositary services</w:t>
            </w:r>
          </w:p>
        </w:tc>
        <w:tc>
          <w:tcPr>
            <w:tcW w:w="0" w:type="dxa"/>
            <w:vAlign w:val="bottom"/>
          </w:tcPr>
          <w:p>
            <w:pPr>
              <w:spacing w:after="0"/>
              <w:rPr>
                <w:sz w:val="1"/>
                <w:szCs w:val="1"/>
                <w:color w:val="auto"/>
              </w:rPr>
            </w:pPr>
          </w:p>
        </w:tc>
      </w:tr>
      <w:tr>
        <w:trPr>
          <w:trHeight w:val="184"/>
        </w:trPr>
        <w:tc>
          <w:tcPr>
            <w:tcW w:w="3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$.05 (or less) per ADS per calendar year</w:t>
            </w:r>
          </w:p>
        </w:tc>
        <w:tc>
          <w:tcPr>
            <w:tcW w:w="220" w:type="dxa"/>
            <w:vAlign w:val="bottom"/>
          </w:tcPr>
          <w:p>
            <w:pPr>
              <w:spacing w:after="0"/>
              <w:rPr>
                <w:sz w:val="16"/>
                <w:szCs w:val="16"/>
                <w:color w:val="auto"/>
              </w:rPr>
            </w:pP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Transfer and registration of shares on our share</w:t>
            </w:r>
          </w:p>
        </w:tc>
        <w:tc>
          <w:tcPr>
            <w:tcW w:w="0" w:type="dxa"/>
            <w:vAlign w:val="bottom"/>
          </w:tcPr>
          <w:p>
            <w:pPr>
              <w:spacing w:after="0"/>
              <w:rPr>
                <w:sz w:val="1"/>
                <w:szCs w:val="1"/>
                <w:color w:val="auto"/>
              </w:rPr>
            </w:pPr>
          </w:p>
        </w:tc>
      </w:tr>
      <w:tr>
        <w:trPr>
          <w:trHeight w:val="103"/>
        </w:trPr>
        <w:tc>
          <w:tcPr>
            <w:tcW w:w="39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Registration or transfer fees</w:t>
            </w:r>
          </w:p>
        </w:tc>
        <w:tc>
          <w:tcPr>
            <w:tcW w:w="22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75" w:lineRule="exact"/>
        <w:rPr>
          <w:sz w:val="20"/>
          <w:szCs w:val="20"/>
          <w:color w:val="auto"/>
        </w:rPr>
      </w:pPr>
    </w:p>
    <w:p>
      <w:pPr>
        <w:sectPr>
          <w:pgSz w:w="11900" w:h="16838" w:orient="portrait"/>
          <w:cols w:equalWidth="0" w:num="2">
            <w:col w:w="9340" w:space="12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Expenses of the depositary</w:t>
      </w: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60"/>
        <w:spacing w:after="0" w:line="222"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ind w:left="224" w:hanging="224"/>
        <w:spacing w:after="0" w:line="212" w:lineRule="auto"/>
        <w:tabs>
          <w:tab w:leader="none" w:pos="116" w:val="left"/>
        </w:tabs>
        <w:numPr>
          <w:ilvl w:val="0"/>
          <w:numId w:val="7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Cable (including SWIFT) and facsimile transmissions (when expressly provided in the deposit agreement)</w:t>
      </w:r>
    </w:p>
    <w:p>
      <w:pPr>
        <w:spacing w:after="0" w:line="38" w:lineRule="exact"/>
        <w:rPr>
          <w:rFonts w:ascii="Times New Roman" w:cs="Times New Roman" w:eastAsia="Times New Roman" w:hAnsi="Times New Roman"/>
          <w:sz w:val="36"/>
          <w:szCs w:val="36"/>
          <w:color w:val="auto"/>
          <w:vertAlign w:val="superscript"/>
        </w:rPr>
      </w:pPr>
    </w:p>
    <w:p>
      <w:pPr>
        <w:ind w:left="104" w:hanging="104"/>
        <w:spacing w:after="0"/>
        <w:tabs>
          <w:tab w:leader="none" w:pos="104" w:val="left"/>
        </w:tabs>
        <w:numPr>
          <w:ilvl w:val="0"/>
          <w:numId w:val="7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Converting foreign currency to U.S. dollars</w:t>
      </w:r>
    </w:p>
    <w:p>
      <w:pPr>
        <w:spacing w:after="0" w:line="51" w:lineRule="exact"/>
        <w:rPr>
          <w:rFonts w:ascii="Times New Roman" w:cs="Times New Roman" w:eastAsia="Times New Roman" w:hAnsi="Times New Roman"/>
          <w:sz w:val="36"/>
          <w:szCs w:val="36"/>
          <w:color w:val="auto"/>
          <w:vertAlign w:val="superscript"/>
        </w:rPr>
      </w:pPr>
    </w:p>
    <w:p>
      <w:pPr>
        <w:ind w:left="104" w:hanging="104"/>
        <w:spacing w:after="0" w:line="224" w:lineRule="auto"/>
        <w:tabs>
          <w:tab w:leader="none" w:pos="104" w:val="left"/>
        </w:tabs>
        <w:numPr>
          <w:ilvl w:val="0"/>
          <w:numId w:val="7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As necessary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8" w:lineRule="exact"/>
        <w:rPr>
          <w:sz w:val="20"/>
          <w:szCs w:val="20"/>
          <w:color w:val="auto"/>
        </w:rPr>
      </w:pPr>
    </w:p>
    <w:p>
      <w:pPr>
        <w:sectPr>
          <w:pgSz w:w="11900" w:h="16838" w:orient="portrait"/>
          <w:cols w:equalWidth="0" w:num="3">
            <w:col w:w="5160" w:space="96"/>
            <w:col w:w="3704" w:space="50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 necessary</w:t>
            </w:r>
          </w:p>
        </w:tc>
        <w:tc>
          <w:tcPr>
            <w:tcW w:w="15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39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Any charges incurred by the depositary or its agents</w:t>
            </w:r>
          </w:p>
        </w:tc>
        <w:tc>
          <w:tcPr>
            <w:tcW w:w="22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servicing the deposited securities</w:t>
            </w: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0"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Cancelation of Deposited Securities</w:t>
      </w:r>
    </w:p>
    <w:p>
      <w:pPr>
        <w:spacing w:after="0" w:line="162" w:lineRule="exact"/>
        <w:rPr>
          <w:sz w:val="20"/>
          <w:szCs w:val="20"/>
          <w:color w:val="auto"/>
        </w:rPr>
      </w:pPr>
    </w:p>
    <w:p>
      <w:pPr>
        <w:jc w:val="both"/>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09"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3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canceled, or if the deposited securities underlying ADSs have become apparently worthless, the depositary may call for surrender of those ADSs or cancel those ADSs upon notice to the ADS 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w:t>
      </w:r>
    </w:p>
    <w:p>
      <w:pPr>
        <w:spacing w:after="0" w:line="3"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i w:val="1"/>
          <w:iCs w:val="1"/>
          <w:color w:val="auto"/>
        </w:rPr>
        <w:t>effective, you are considered, by continuing to hold your ADSs, to agree to the amendment and to be bound by the ADRs and the deposit agreement as amended</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54" w:lineRule="exact"/>
        <w:rPr>
          <w:sz w:val="20"/>
          <w:szCs w:val="20"/>
          <w:color w:val="auto"/>
        </w:rPr>
      </w:pPr>
    </w:p>
    <w:p>
      <w:pPr>
        <w:ind w:left="1800" w:right="47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shares from an exchange outside the United States on which they were listed and do not list the shares on another exchange outside the United States;</w:t>
      </w:r>
    </w:p>
    <w:p>
      <w:pPr>
        <w:spacing w:after="0" w:line="40"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 of 1933;</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9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54" w:lineRule="exact"/>
        <w:rPr>
          <w:sz w:val="20"/>
          <w:szCs w:val="20"/>
          <w:color w:val="auto"/>
        </w:rPr>
      </w:pPr>
    </w:p>
    <w:p>
      <w:pPr>
        <w:ind w:left="1800" w:right="89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control from performing our or its obligations under the deposit agreement;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90"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6"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54" w:lineRule="exact"/>
        <w:rPr>
          <w:sz w:val="20"/>
          <w:szCs w:val="20"/>
          <w:color w:val="auto"/>
        </w:rPr>
      </w:pPr>
    </w:p>
    <w:p>
      <w:pPr>
        <w:ind w:left="1800" w:right="67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54" w:lineRule="exact"/>
        <w:rPr>
          <w:sz w:val="20"/>
          <w:szCs w:val="20"/>
          <w:color w:val="auto"/>
        </w:rPr>
      </w:pPr>
    </w:p>
    <w:p>
      <w:pPr>
        <w:ind w:left="1800" w:right="73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62" w:lineRule="exact"/>
        <w:rPr>
          <w:sz w:val="20"/>
          <w:szCs w:val="20"/>
          <w:color w:val="auto"/>
        </w:rPr>
      </w:pPr>
    </w:p>
    <w:p>
      <w:pPr>
        <w:jc w:val="both"/>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w:t>
      </w:r>
    </w:p>
    <w:p>
      <w:pPr>
        <w:spacing w:after="0" w:line="3" w:lineRule="exact"/>
        <w:rPr>
          <w:sz w:val="20"/>
          <w:szCs w:val="20"/>
          <w:color w:val="auto"/>
        </w:rPr>
      </w:pPr>
    </w:p>
    <w:p>
      <w:pPr>
        <w:jc w:val="both"/>
        <w:ind w:left="1260" w:right="459"/>
        <w:spacing w:after="0" w:line="253" w:lineRule="auto"/>
        <w:rPr>
          <w:sz w:val="20"/>
          <w:szCs w:val="20"/>
          <w:color w:val="auto"/>
        </w:rPr>
      </w:pPr>
      <w:r>
        <w:rPr>
          <w:rFonts w:ascii="Times New Roman" w:cs="Times New Roman" w:eastAsia="Times New Roman" w:hAnsi="Times New Roman"/>
          <w:sz w:val="18"/>
          <w:szCs w:val="18"/>
          <w:color w:val="auto"/>
        </w:rPr>
        <w:t>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Waiver of Jury Trial</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9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on the facts and circumstances of that case in accordance with applicable case law. However, you cannot waive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The particular terms of each issue or series of preferred shares will be described in the related prospectus supplement. This description will include, where applicable, a description of:</w:t>
      </w:r>
    </w:p>
    <w:p>
      <w:pPr>
        <w:spacing w:after="0" w:line="54"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preferred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we are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preferred share, if any;</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preferred share, dividend period and payment dates and method of calculation for dividends;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(preferred dividend if any) and rights if we liquidate, dissolve or wind up the Company;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shares will be represented by American Depositary Preferred Shares;</w:t>
      </w:r>
    </w:p>
    <w:p>
      <w:pPr>
        <w:spacing w:after="0" w:line="5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Cayman Islands or United States federal income tax considerations applicable to the preferred shares;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preferred shares regarding the corporate governance of our company, which may include, for example representation rights to the board of directors;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9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may cause the Company to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When we issue preferred shares under this prospectus and the applicable prospectus supplement, the shares will be fully paid and non-assessable and will not have, or be subject to, any preemptive or similar rights.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 and exercised;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purchasable upon exercise of such warrants;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Cayman Islands or United States federal income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 and</w:t>
      </w:r>
    </w:p>
    <w:p>
      <w:pPr>
        <w:spacing w:after="0" w:line="158"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spacing w:after="0" w:line="11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More Information About Us” and “Incorporation of Documents by Reference” below for information on how to obtain a copy of a debt securities document when it is filed.</w:t>
      </w:r>
    </w:p>
    <w:p>
      <w:pPr>
        <w:spacing w:after="0" w:line="11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When we refer to a series of debt securities, we mean all debt securities issued as part of the same series under the applicable indenture.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148"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 the terms of any debt securities that we may offer, including, but not limited to, the following:</w:t>
      </w:r>
    </w:p>
    <w:p>
      <w:pPr>
        <w:spacing w:after="0" w:line="274"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of the debt securities will be issued and interest rate;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at which the debt securities may be converted;</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convert the debt securities will commence and the date on which the right will expire;</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debt securities that may be converted at any one time;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federal income tax consideration;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terms of the payoff of the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indenture agent,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conversion of the debt securities; and</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terms, procedure and limitation relating to the exchange or conversion of the debt securities.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or bearer form. Debt securities issued in registered form, i.e., book-entry form, will be represented by a global security registered in the name of a depository,</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4" w:lineRule="auto"/>
        <w:rPr>
          <w:sz w:val="20"/>
          <w:szCs w:val="20"/>
          <w:color w:val="auto"/>
        </w:rPr>
      </w:pPr>
      <w:r>
        <w:rPr>
          <w:rFonts w:ascii="Times New Roman" w:cs="Times New Roman" w:eastAsia="Times New Roman" w:hAnsi="Times New Roman"/>
          <w:sz w:val="18"/>
          <w:szCs w:val="18"/>
          <w:color w:val="auto"/>
        </w:rPr>
        <w:t>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spacing w:after="0" w:line="12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of Debt Securities</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10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subscription rights in respect of which this prospectus is being delivered:</w:t>
      </w:r>
    </w:p>
    <w:p>
      <w:pPr>
        <w:spacing w:after="0" w:line="67" w:lineRule="exact"/>
        <w:rPr>
          <w:sz w:val="20"/>
          <w:szCs w:val="20"/>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subscription rights are exercisable;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shareholder;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3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Cayman Islands or United States federal income tax considerations applicable to the issuance or exercise of such subscription rights;</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rights shall expire (subject to any extension);</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2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spacing w:after="0" w:line="266" w:lineRule="auto"/>
        <w:rPr>
          <w:sz w:val="20"/>
          <w:szCs w:val="20"/>
          <w:color w:val="auto"/>
        </w:rPr>
      </w:pPr>
      <w:r>
        <w:rPr>
          <w:rFonts w:ascii="Times New Roman" w:cs="Times New Roman" w:eastAsia="Times New Roman" w:hAnsi="Times New Roman"/>
          <w:sz w:val="18"/>
          <w:szCs w:val="18"/>
          <w:color w:val="auto"/>
        </w:rPr>
        <w:t>shareholders, to or through agents, underwriters or dealers or through a combination of such methods, including pursuant to standby underwriting arrangements, as set forth in the applicable prospectus supplement.</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117" w:lineRule="exact"/>
        <w:rPr>
          <w:sz w:val="20"/>
          <w:szCs w:val="20"/>
          <w:color w:val="auto"/>
        </w:rPr>
      </w:pPr>
    </w:p>
    <w:p>
      <w:pPr>
        <w:ind w:left="1800" w:right="61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117" w:lineRule="exact"/>
        <w:rPr>
          <w:sz w:val="20"/>
          <w:szCs w:val="20"/>
          <w:color w:val="auto"/>
        </w:rPr>
      </w:pPr>
    </w:p>
    <w:p>
      <w:pPr>
        <w:ind w:left="1800" w:right="61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spacing w:after="0" w:line="328"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spacing w:after="0" w:line="11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of the Cayman Islands are unlikely (1) to recognize or enforce judgments of U.S. courts obtained against us or our directors or officers that are predicated upon the civil liability provisions of the federal securities laws of the United States or the securities laws of any state in the United States, or (2)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Maples and Calder (Hong Kong) LLP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A Cayman Islands court may stay enforcement proceedings if concurrent proceedings are being brought elsewhere.</w:t>
      </w:r>
    </w:p>
    <w:p>
      <w:pPr>
        <w:spacing w:after="0" w:line="33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Commerce &amp; Finance Law Offices,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Commerce &amp; Finance Law Offices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existed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We may sell the securities offered through this prospectus (1) to or through underwriters or dealers,</w:t>
      </w:r>
    </w:p>
    <w:p>
      <w:pPr>
        <w:spacing w:after="0" w:line="27" w:lineRule="exact"/>
        <w:rPr>
          <w:sz w:val="20"/>
          <w:szCs w:val="20"/>
          <w:color w:val="auto"/>
        </w:rPr>
      </w:pPr>
    </w:p>
    <w:p>
      <w:pPr>
        <w:ind w:left="1260" w:right="519"/>
        <w:spacing w:after="0" w:line="253" w:lineRule="auto"/>
        <w:tabs>
          <w:tab w:leader="none" w:pos="15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w:t>
      </w:r>
    </w:p>
    <w:p>
      <w:pPr>
        <w:spacing w:after="0" w:line="29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dealers or agents;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offering price to the public;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34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48"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2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0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1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14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62"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being represented by Kirkland &amp; Ellis International LLP with respect to certain legal matters of United States federal securities and New York state law. The validity of the ordinary shares represented by the ADSs offered in this offering and legal matters as to Cayman Islands law will be passed upon for us by Maples and Calder (Hong Kong) LLP. Certain legal matters as to PRC law will be passed upon for us by Commerce &amp; Finance Law Offices. Kirkland &amp; Ellis International LLP and Maples and Calder (Hong Kong) LLP may rely upon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Canaan Inc. as of December 31, 2022 and 2023, and for each of the years in the three-year period ended December 31, 2023, and management’s assessment of the effectiveness of internal control over financial reporting as of December 31, 2023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www.sec.gov.</w:t>
      </w:r>
    </w:p>
    <w:p>
      <w:pPr>
        <w:spacing w:after="0" w:line="337"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corporate website is www.canaan-creative.com. The information contained on our websites is not a part of this prospectus. Our agent for service of process in the United States is Cogency Global Inc., located at 122 East 42nd Street, 18th Floor, New York, New York 10168.</w:t>
      </w:r>
    </w:p>
    <w:p>
      <w:pPr>
        <w:spacing w:after="0" w:line="95"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incorporate by reference the following documents:</w:t>
      </w:r>
    </w:p>
    <w:p>
      <w:pPr>
        <w:spacing w:after="0" w:line="117" w:lineRule="exact"/>
        <w:rPr>
          <w:sz w:val="20"/>
          <w:szCs w:val="20"/>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5">
        <w:r>
          <w:rPr>
            <w:rFonts w:ascii="Times New Roman" w:cs="Times New Roman" w:eastAsia="Times New Roman" w:hAnsi="Times New Roman"/>
            <w:sz w:val="18"/>
            <w:szCs w:val="18"/>
            <w:u w:val="single" w:color="auto"/>
            <w:color w:val="0000EE"/>
          </w:rPr>
          <w:t>Form 20-F for the fiscal year ended December 31, 2023 filed on April 17,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83"/>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the description of our securities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SEC on November 6, 2019</w:t>
        </w:r>
        <w:r>
          <w:rPr>
            <w:rFonts w:ascii="Times New Roman" w:cs="Times New Roman" w:eastAsia="Times New Roman" w:hAnsi="Times New Roman"/>
            <w:sz w:val="18"/>
            <w:szCs w:val="18"/>
            <w:color w:val="000000"/>
          </w:rPr>
          <w:t>, as updated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Annual Report on Form 20-F for the</w:t>
        </w:r>
      </w:hyperlink>
      <w:r>
        <w:rPr>
          <w:rFonts w:ascii="Times New Roman" w:cs="Times New Roman" w:eastAsia="Times New Roman" w:hAnsi="Times New Roman"/>
          <w:sz w:val="18"/>
          <w:szCs w:val="18"/>
          <w:color w:val="0000EE"/>
        </w:rPr>
        <w:t xml:space="preserve"> </w:t>
      </w:r>
      <w:hyperlink r:id="rId166">
        <w:r>
          <w:rPr>
            <w:rFonts w:ascii="Times New Roman" w:cs="Times New Roman" w:eastAsia="Times New Roman" w:hAnsi="Times New Roman"/>
            <w:sz w:val="18"/>
            <w:szCs w:val="18"/>
            <w:u w:val="single" w:color="auto"/>
            <w:color w:val="0000EE"/>
          </w:rPr>
          <w:t>fiscal year ended December 31, 2019 filed with the SEC on April 15, 2020</w:t>
        </w:r>
        <w:r>
          <w:rPr>
            <w:rFonts w:ascii="Times New Roman" w:cs="Times New Roman" w:eastAsia="Times New Roman" w:hAnsi="Times New Roman"/>
            <w:sz w:val="18"/>
            <w:szCs w:val="18"/>
            <w:color w:val="000000"/>
          </w:rPr>
          <w:t>, and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or reports filed for purposes of updating such descriptions.;</w:t>
      </w:r>
    </w:p>
    <w:p>
      <w:pPr>
        <w:spacing w:after="0" w:line="71"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81" w:lineRule="exact"/>
        <w:rPr>
          <w:rFonts w:ascii="Times New Roman" w:cs="Times New Roman" w:eastAsia="Times New Roman" w:hAnsi="Times New Roman"/>
          <w:sz w:val="18"/>
          <w:szCs w:val="18"/>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2023 contains a description of our business and audited consolidated financial statements with a report by our independent auditor. The consolidated financial statements are prepared and presented in accordance with U.S. GAAP.</w:t>
      </w:r>
    </w:p>
    <w:p>
      <w:pPr>
        <w:spacing w:after="0" w:line="108" w:lineRule="exact"/>
        <w:rPr>
          <w:rFonts w:ascii="Times New Roman" w:cs="Times New Roman" w:eastAsia="Times New Roman" w:hAnsi="Times New Roman"/>
          <w:sz w:val="18"/>
          <w:szCs w:val="18"/>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336" w:lineRule="exact"/>
        <w:rPr>
          <w:rFonts w:ascii="Times New Roman" w:cs="Times New Roman" w:eastAsia="Times New Roman" w:hAnsi="Times New Roman"/>
          <w:sz w:val="18"/>
          <w:szCs w:val="18"/>
          <w:color w:val="auto"/>
        </w:rPr>
      </w:pPr>
    </w:p>
    <w:p>
      <w:pPr>
        <w:ind w:left="4900"/>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rFonts w:ascii="Times New Roman" w:cs="Times New Roman" w:eastAsia="Times New Roman" w:hAnsi="Times New Roman"/>
          <w:sz w:val="18"/>
          <w:szCs w:val="18"/>
          <w:color w:val="auto"/>
        </w:rPr>
      </w:pPr>
    </w:p>
    <w:p>
      <w:pPr>
        <w:ind w:left="4440"/>
        <w:spacing w:after="0"/>
        <w:rPr>
          <w:sz w:val="20"/>
          <w:szCs w:val="20"/>
          <w:color w:val="auto"/>
        </w:rPr>
      </w:pPr>
      <w:r>
        <w:rPr>
          <w:rFonts w:ascii="Times New Roman" w:cs="Times New Roman" w:eastAsia="Times New Roman" w:hAnsi="Times New Roman"/>
          <w:sz w:val="18"/>
          <w:szCs w:val="18"/>
          <w:color w:val="auto"/>
        </w:rPr>
        <w:t>28 Ayer Rajah Crescent</w:t>
      </w:r>
    </w:p>
    <w:p>
      <w:pPr>
        <w:spacing w:after="0" w:line="9" w:lineRule="exact"/>
        <w:rPr>
          <w:rFonts w:ascii="Times New Roman" w:cs="Times New Roman" w:eastAsia="Times New Roman" w:hAnsi="Times New Roman"/>
          <w:sz w:val="18"/>
          <w:szCs w:val="18"/>
          <w:color w:val="auto"/>
        </w:rPr>
      </w:pPr>
    </w:p>
    <w:p>
      <w:pPr>
        <w:ind w:left="5080"/>
        <w:spacing w:after="0"/>
        <w:rPr>
          <w:sz w:val="20"/>
          <w:szCs w:val="20"/>
          <w:color w:val="auto"/>
        </w:rPr>
      </w:pPr>
      <w:r>
        <w:rPr>
          <w:rFonts w:ascii="Times New Roman" w:cs="Times New Roman" w:eastAsia="Times New Roman" w:hAnsi="Times New Roman"/>
          <w:sz w:val="18"/>
          <w:szCs w:val="18"/>
          <w:color w:val="auto"/>
        </w:rPr>
        <w:t>#06-08</w:t>
      </w:r>
    </w:p>
    <w:p>
      <w:pPr>
        <w:spacing w:after="0" w:line="9" w:lineRule="exact"/>
        <w:rPr>
          <w:rFonts w:ascii="Times New Roman" w:cs="Times New Roman" w:eastAsia="Times New Roman" w:hAnsi="Times New Roman"/>
          <w:sz w:val="18"/>
          <w:szCs w:val="18"/>
          <w:color w:val="auto"/>
        </w:rPr>
      </w:pPr>
    </w:p>
    <w:p>
      <w:pPr>
        <w:ind w:left="4660"/>
        <w:spacing w:after="0"/>
        <w:rPr>
          <w:sz w:val="20"/>
          <w:szCs w:val="20"/>
          <w:color w:val="auto"/>
        </w:rPr>
      </w:pPr>
      <w:r>
        <w:rPr>
          <w:rFonts w:ascii="Times New Roman" w:cs="Times New Roman" w:eastAsia="Times New Roman" w:hAnsi="Times New Roman"/>
          <w:sz w:val="18"/>
          <w:szCs w:val="18"/>
          <w:color w:val="auto"/>
        </w:rPr>
        <w:t>Singapore 139959</w:t>
      </w:r>
    </w:p>
    <w:p>
      <w:pPr>
        <w:spacing w:after="0" w:line="9" w:lineRule="exact"/>
        <w:rPr>
          <w:rFonts w:ascii="Times New Roman" w:cs="Times New Roman" w:eastAsia="Times New Roman" w:hAnsi="Times New Roman"/>
          <w:sz w:val="18"/>
          <w:szCs w:val="18"/>
          <w:color w:val="auto"/>
        </w:rPr>
      </w:pPr>
    </w:p>
    <w:p>
      <w:pPr>
        <w:ind w:left="4620"/>
        <w:spacing w:after="0"/>
        <w:rPr>
          <w:sz w:val="20"/>
          <w:szCs w:val="20"/>
          <w:color w:val="auto"/>
        </w:rPr>
      </w:pPr>
      <w:r>
        <w:rPr>
          <w:rFonts w:ascii="Times New Roman" w:cs="Times New Roman" w:eastAsia="Times New Roman" w:hAnsi="Times New Roman"/>
          <w:sz w:val="18"/>
          <w:szCs w:val="18"/>
          <w:color w:val="auto"/>
        </w:rPr>
        <w:t>Tel: +65 6305 6618</w:t>
      </w:r>
    </w:p>
    <w:p>
      <w:pPr>
        <w:spacing w:after="0" w:line="126" w:lineRule="exact"/>
        <w:rPr>
          <w:rFonts w:ascii="Times New Roman" w:cs="Times New Roman" w:eastAsia="Times New Roman" w:hAnsi="Times New Roman"/>
          <w:sz w:val="18"/>
          <w:szCs w:val="18"/>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1159510</wp:posOffset>
            </wp:positionV>
            <wp:extent cx="2194560" cy="720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1945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2460"/>
        <w:spacing w:after="0" w:line="250" w:lineRule="auto"/>
        <w:rPr>
          <w:sz w:val="20"/>
          <w:szCs w:val="20"/>
          <w:color w:val="auto"/>
        </w:rPr>
      </w:pPr>
      <w:r>
        <w:rPr>
          <w:rFonts w:ascii="Times New Roman" w:cs="Times New Roman" w:eastAsia="Times New Roman" w:hAnsi="Times New Roman"/>
          <w:sz w:val="25"/>
          <w:szCs w:val="25"/>
          <w:b w:val="1"/>
          <w:bCs w:val="1"/>
          <w:color w:val="auto"/>
        </w:rPr>
        <w:t>30,000 Series A-1 Convertible Preferred Shares and Class A Ordinary Shares issuable upon conversion of the Series A-1 Convertible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1388745</wp:posOffset>
            </wp:positionV>
            <wp:extent cx="5212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lowerRoman"/>
      <w:start w:val="2"/>
    </w:lvl>
  </w:abstractNum>
  <w:abstractNum w:abstractNumId="6">
    <w:nsid w:val="57E4CCAF"/>
    <w:multiLevelType w:val="hybridMultilevel"/>
    <w:lvl w:ilvl="0">
      <w:lvlJc w:val="left"/>
      <w:lvlText w:val="(%1)"/>
      <w:numFmt w:val="lowerRoman"/>
      <w:start w:val="1"/>
    </w:lvl>
  </w:abstractNum>
  <w:abstractNum w:abstractNumId="7">
    <w:nsid w:val="7A6D8D3C"/>
    <w:multiLevelType w:val="hybridMultilevel"/>
    <w:lvl w:ilvl="0">
      <w:lvlJc w:val="left"/>
      <w:lvlText w:val="(%1)"/>
      <w:numFmt w:val="lowerRoman"/>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lowerRoman"/>
      <w:start w:val="10"/>
    </w:lvl>
  </w:abstractNum>
  <w:abstractNum w:abstractNumId="13">
    <w:nsid w:val="32FFF902"/>
    <w:multiLevelType w:val="hybridMultilevel"/>
    <w:lvl w:ilvl="0">
      <w:lvlJc w:val="left"/>
      <w:lvlText w:val="(%1)"/>
      <w:numFmt w:val="lowerRoman"/>
      <w:start w:val="1"/>
    </w:lvl>
  </w:abstractNum>
  <w:abstractNum w:abstractNumId="14">
    <w:nsid w:val="684A481A"/>
    <w:multiLevelType w:val="hybridMultilevel"/>
    <w:lvl w:ilvl="0">
      <w:lvlJc w:val="left"/>
      <w:lvlText w:val="(%1)"/>
      <w:numFmt w:val="lowerRoman"/>
      <w:start w:val="6"/>
    </w:lvl>
    <w:lvl w:ilvl="1">
      <w:lvlJc w:val="left"/>
      <w:lvlText w:val="(%2)"/>
      <w:numFmt w:val="lowerRoman"/>
      <w:start w:val="1"/>
    </w:lvl>
  </w:abstractNum>
  <w:abstractNum w:abstractNumId="15">
    <w:nsid w:val="579478FE"/>
    <w:multiLevelType w:val="hybridMultilevel"/>
    <w:lvl w:ilvl="0">
      <w:lvlJc w:val="left"/>
      <w:lvlText w:val="(%1)"/>
      <w:numFmt w:val="lowerRoman"/>
      <w:start w:val="7"/>
    </w:lvl>
  </w:abstractNum>
  <w:abstractNum w:abstractNumId="16">
    <w:nsid w:val="749ABB43"/>
    <w:multiLevelType w:val="hybridMultilevel"/>
    <w:lvl w:ilvl="0">
      <w:lvlJc w:val="left"/>
      <w:lvlText w:val="(%1)"/>
      <w:numFmt w:val="lowerLetter"/>
      <w:start w:val="25"/>
    </w:lvl>
  </w:abstractNum>
  <w:abstractNum w:abstractNumId="17">
    <w:nsid w:val="3DC240FB"/>
    <w:multiLevelType w:val="hybridMultilevel"/>
    <w:lvl w:ilvl="0">
      <w:lvlJc w:val="left"/>
      <w:lvlText w:val="(%1)"/>
      <w:numFmt w:val="lowerLetter"/>
      <w:start w:val="25"/>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25"/>
    </w:lvl>
  </w:abstractNum>
  <w:abstractNum w:abstractNumId="20">
    <w:nsid w:val="75C6C33A"/>
    <w:multiLevelType w:val="hybridMultilevel"/>
    <w:lvl w:ilvl="0">
      <w:lvlJc w:val="left"/>
      <w:lvlText w:val="(%1)"/>
      <w:numFmt w:val="lowerRoman"/>
      <w:start w:val="8"/>
    </w:lvl>
  </w:abstractNum>
  <w:abstractNum w:abstractNumId="21">
    <w:nsid w:val="12E685FB"/>
    <w:multiLevelType w:val="hybridMultilevel"/>
    <w:lvl w:ilvl="0">
      <w:lvlJc w:val="left"/>
      <w:lvlText w:val="(%1)"/>
      <w:numFmt w:val="lowerLetter"/>
      <w:start w:val="2"/>
    </w:lvl>
  </w:abstractNum>
  <w:abstractNum w:abstractNumId="22">
    <w:nsid w:val="70C6A529"/>
    <w:multiLevelType w:val="hybridMultilevel"/>
    <w:lvl w:ilvl="0">
      <w:lvlJc w:val="left"/>
      <w:lvlText w:val="(%1)"/>
      <w:numFmt w:val="lowerRoman"/>
      <w:start w:val="2"/>
    </w:lvl>
  </w:abstractNum>
  <w:abstractNum w:abstractNumId="23">
    <w:nsid w:val="520EEDD1"/>
    <w:multiLevelType w:val="hybridMultilevel"/>
    <w:lvl w:ilvl="0">
      <w:lvlJc w:val="left"/>
      <w:lvlText w:val="(%1)"/>
      <w:numFmt w:val="lowerRoman"/>
      <w:start w:val="3"/>
    </w:lvl>
  </w:abstractNum>
  <w:abstractNum w:abstractNumId="24">
    <w:nsid w:val="374A3FE6"/>
    <w:multiLevelType w:val="hybridMultilevel"/>
    <w:lvl w:ilvl="0">
      <w:lvlJc w:val="left"/>
      <w:lvlText w:val="(%1)"/>
      <w:numFmt w:val="lowerRoman"/>
      <w:start w:val="1"/>
    </w:lvl>
  </w:abstractNum>
  <w:abstractNum w:abstractNumId="25">
    <w:nsid w:val="4F4EF005"/>
    <w:multiLevelType w:val="hybridMultilevel"/>
    <w:lvl w:ilvl="0">
      <w:lvlJc w:val="left"/>
      <w:lvlText w:val="(%1)"/>
      <w:numFmt w:val="lowerRoman"/>
      <w:start w:val="3"/>
    </w:lvl>
  </w:abstractNum>
  <w:abstractNum w:abstractNumId="26">
    <w:nsid w:val="23F9C13C"/>
    <w:multiLevelType w:val="hybridMultilevel"/>
    <w:lvl w:ilvl="0">
      <w:lvlJc w:val="left"/>
      <w:lvlText w:val="(%1)"/>
      <w:numFmt w:val="lowerRoman"/>
      <w:start w:val="1"/>
    </w:lvl>
  </w:abstractNum>
  <w:abstractNum w:abstractNumId="27">
    <w:nsid w:val="649BB77C"/>
    <w:multiLevelType w:val="hybridMultilevel"/>
    <w:lvl w:ilvl="0">
      <w:lvlJc w:val="left"/>
      <w:lvlText w:val="(%1)"/>
      <w:numFmt w:val="lowerRoman"/>
      <w:start w:val="9"/>
    </w:lvl>
  </w:abstractNum>
  <w:abstractNum w:abstractNumId="28">
    <w:nsid w:val="275AC794"/>
    <w:multiLevelType w:val="hybridMultilevel"/>
    <w:lvl w:ilvl="0">
      <w:lvlJc w:val="left"/>
      <w:lvlText w:val="(%1)"/>
      <w:numFmt w:val="lowerLetter"/>
      <w:start w:val="2"/>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decimal"/>
      <w:start w:val="60"/>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28"/>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lowerRoman"/>
      <w:start w:val="10"/>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Roman"/>
      <w:start w:val="6"/>
    </w:lvl>
    <w:lvl w:ilvl="1">
      <w:lvlJc w:val="left"/>
      <w:lvlText w:val="(%2)"/>
      <w:numFmt w:val="lowerRoman"/>
      <w:start w:val="1"/>
    </w:lvl>
  </w:abstractNum>
  <w:abstractNum w:abstractNumId="44">
    <w:nsid w:val="310C50B3"/>
    <w:multiLevelType w:val="hybridMultilevel"/>
    <w:lvl w:ilvl="0">
      <w:lvlJc w:val="left"/>
      <w:lvlText w:val="(%1)"/>
      <w:numFmt w:val="lowerRoman"/>
      <w:start w:val="5"/>
    </w:lvl>
  </w:abstractNum>
  <w:abstractNum w:abstractNumId="45">
    <w:nsid w:val="5FF87E05"/>
    <w:multiLevelType w:val="hybridMultilevel"/>
    <w:lvl w:ilvl="0">
      <w:lvlJc w:val="left"/>
      <w:lvlText w:val="(%1)"/>
      <w:numFmt w:val="lowerLetter"/>
      <w:start w:val="25"/>
    </w:lvl>
  </w:abstractNum>
  <w:abstractNum w:abstractNumId="46">
    <w:nsid w:val="2F305DEF"/>
    <w:multiLevelType w:val="hybridMultilevel"/>
    <w:lvl w:ilvl="0">
      <w:lvlJc w:val="left"/>
      <w:lvlText w:val="(%1)"/>
      <w:numFmt w:val="decimal"/>
      <w:start w:val="20"/>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5"/>
    </w:lvl>
  </w:abstractNum>
  <w:abstractNum w:abstractNumId="50">
    <w:nsid w:val="1F48EAA1"/>
    <w:multiLevelType w:val="hybridMultilevel"/>
    <w:lvl w:ilvl="0">
      <w:lvlJc w:val="left"/>
      <w:lvlText w:val="(%1)"/>
      <w:numFmt w:val="lowerRoman"/>
      <w:start w:val="10"/>
    </w:lvl>
  </w:abstractNum>
  <w:abstractNum w:abstractNumId="51">
    <w:nsid w:val="1381823A"/>
    <w:multiLevelType w:val="hybridMultilevel"/>
    <w:lvl w:ilvl="0">
      <w:lvlJc w:val="left"/>
      <w:lvlText w:val="(%1)"/>
      <w:numFmt w:val="lowerRoman"/>
      <w:start w:val="1"/>
    </w:lvl>
  </w:abstractNum>
  <w:abstractNum w:abstractNumId="52">
    <w:nsid w:val="5DB70AE5"/>
    <w:multiLevelType w:val="hybridMultilevel"/>
    <w:lvl w:ilvl="0">
      <w:lvlJc w:val="left"/>
      <w:lvlText w:val="(%1)"/>
      <w:numFmt w:val="lowerRoman"/>
      <w:start w:val="2"/>
    </w:lvl>
  </w:abstractNum>
  <w:abstractNum w:abstractNumId="53">
    <w:nsid w:val="100F8FCA"/>
    <w:multiLevelType w:val="hybridMultilevel"/>
    <w:lvl w:ilvl="0">
      <w:lvlJc w:val="left"/>
      <w:lvlText w:val="(%1)"/>
      <w:numFmt w:val="lowerRoman"/>
      <w:start w:val="3"/>
    </w:lvl>
  </w:abstractNum>
  <w:abstractNum w:abstractNumId="54">
    <w:nsid w:val="6590700B"/>
    <w:multiLevelType w:val="hybridMultilevel"/>
    <w:lvl w:ilvl="0">
      <w:lvlJc w:val="left"/>
      <w:lvlText w:val="(%1)"/>
      <w:numFmt w:val="lowerRoman"/>
      <w:start w:val="1"/>
    </w:lvl>
  </w:abstractNum>
  <w:abstractNum w:abstractNumId="55">
    <w:nsid w:val="15014ACB"/>
    <w:multiLevelType w:val="hybridMultilevel"/>
    <w:lvl w:ilvl="0">
      <w:lvlJc w:val="left"/>
      <w:lvlText w:val="(%1)"/>
      <w:numFmt w:val="lowerRoman"/>
      <w:start w:val="2"/>
    </w:lvl>
  </w:abstractNum>
  <w:abstractNum w:abstractNumId="56">
    <w:nsid w:val="5F5E7FD0"/>
    <w:multiLevelType w:val="hybridMultilevel"/>
    <w:lvl w:ilvl="0">
      <w:lvlJc w:val="left"/>
      <w:lvlText w:val="%1"/>
      <w:numFmt w:val="lowerRoman"/>
      <w:start w:val="1"/>
    </w:lvl>
    <w:lvl w:ilvl="1">
      <w:lvlJc w:val="left"/>
      <w:lvlText w:val="(%2)"/>
      <w:numFmt w:val="lowerRoman"/>
      <w:start w:val="4"/>
    </w:lvl>
  </w:abstractNum>
  <w:abstractNum w:abstractNumId="57">
    <w:nsid w:val="98A3148"/>
    <w:multiLevelType w:val="hybridMultilevel"/>
    <w:lvl w:ilvl="0">
      <w:lvlJc w:val="left"/>
      <w:lvlText w:val="(%1)"/>
      <w:numFmt w:val="lowerRoman"/>
      <w:start w:val="3"/>
    </w:lvl>
    <w:lvl w:ilvl="1">
      <w:lvlJc w:val="left"/>
      <w:lvlText w:val="%2"/>
      <w:numFmt w:val="lowerRoman"/>
      <w:start w:val="1"/>
    </w:lvl>
  </w:abstractNum>
  <w:abstractNum w:abstractNumId="58">
    <w:nsid w:val="799D0247"/>
    <w:multiLevelType w:val="hybridMultilevel"/>
    <w:lvl w:ilvl="0">
      <w:lvlJc w:val="left"/>
      <w:lvlText w:val="(%1)"/>
      <w:numFmt w:val="lowerRoman"/>
      <w:start w:val="6"/>
    </w:lvl>
  </w:abstractNum>
  <w:abstractNum w:abstractNumId="59">
    <w:nsid w:val="6B94764"/>
    <w:multiLevelType w:val="hybridMultilevel"/>
    <w:lvl w:ilvl="0">
      <w:lvlJc w:val="left"/>
      <w:lvlText w:val="(%1)"/>
      <w:numFmt w:val="lowerRoman"/>
      <w:start w:val="1"/>
    </w:lvl>
  </w:abstractNum>
  <w:abstractNum w:abstractNumId="60">
    <w:nsid w:val="42C296BD"/>
    <w:multiLevelType w:val="hybridMultilevel"/>
    <w:lvl w:ilvl="0">
      <w:lvlJc w:val="left"/>
      <w:lvlText w:val="(%1)"/>
      <w:numFmt w:val="lowerRoman"/>
      <w:start w:val="1"/>
    </w:lvl>
    <w:lvl w:ilvl="1">
      <w:lvlJc w:val="left"/>
      <w:lvlText w:val="(%2)"/>
      <w:numFmt w:val="lowerLetter"/>
      <w:start w:val="25"/>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Roman"/>
      <w:start w:val="2"/>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2"/>
    </w:lvl>
    <w:lvl w:ilvl="1">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jpe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jpe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32" Type="http://schemas.openxmlformats.org/officeDocument/2006/relationships/hyperlink" Target="https://www.sec.gov/ix?doc=/Archives/edgar/data/1780652/000110465924048300/can-20231231x20f.htm" TargetMode="External"/><Relationship Id="rId85" Type="http://schemas.openxmlformats.org/officeDocument/2006/relationships/hyperlink" Target="https://www.sec.gov/Archives/edgar/data/1780652/000110465924049704/tm2412353d1_6k.htm" TargetMode="External"/><Relationship Id="rId86" Type="http://schemas.openxmlformats.org/officeDocument/2006/relationships/hyperlink" Target="https://www.sec.gov/Archives/edgar/data/1780652/000110465924059022/tm2413989d1_6k.htm" TargetMode="External"/><Relationship Id="rId87" Type="http://schemas.openxmlformats.org/officeDocument/2006/relationships/hyperlink" Target="https://www.sec.gov/Archives/edgar/data/1780652/000110465924062698/tm2414740d1_6k.htm" TargetMode="External"/><Relationship Id="rId88" Type="http://schemas.openxmlformats.org/officeDocument/2006/relationships/hyperlink" Target="https://www.sec.gov/Archives/edgar/data/1780652/000110465924068806/tm2416619d1_6k.htm" TargetMode="External"/><Relationship Id="rId89" Type="http://schemas.openxmlformats.org/officeDocument/2006/relationships/hyperlink" Target="https://www.sec.gov/Archives/edgar/data/1780652/000110465924089898/tm2421783d1_6k.htm" TargetMode="External"/><Relationship Id="rId90" Type="http://schemas.openxmlformats.org/officeDocument/2006/relationships/hyperlink" Target="https://www.sec.gov/Archives/edgar/data/1780652/000110465924096010/tm2423205d1_6k.htm" TargetMode="External"/><Relationship Id="rId91" Type="http://schemas.openxmlformats.org/officeDocument/2006/relationships/hyperlink" Target="https://www.sec.gov/Archives/edgar/data/1780652/000110465924104270/tm2425018d1_6k.htm" TargetMode="External"/><Relationship Id="rId92" Type="http://schemas.openxmlformats.org/officeDocument/2006/relationships/hyperlink" Target="https://www.sec.gov/Archives/edgar/data/1780652/000110465924113270/tm2427276d1_6k.htm" TargetMode="External"/><Relationship Id="rId93" Type="http://schemas.openxmlformats.org/officeDocument/2006/relationships/hyperlink" Target="https://www.sec.gov/Archives/edgar/data/1780652/000110465924118884/tm2427955d1_6k.htm" TargetMode="External"/><Relationship Id="rId94" Type="http://schemas.openxmlformats.org/officeDocument/2006/relationships/hyperlink" Target="https://www.sec.gov/Archives/edgar/data/1780652/000119312519285286/d796227d8a12b.htm" TargetMode="External"/><Relationship Id="rId95" Type="http://schemas.openxmlformats.org/officeDocument/2006/relationships/hyperlink" Target="https://www.sec.gov/Archives/edgar/data/1780652/000156459020016788/can-ex22_98.htm" TargetMode="External"/><Relationship Id="rId165" Type="http://schemas.openxmlformats.org/officeDocument/2006/relationships/hyperlink" Target="http://www.sec.gov/ix?doc=/Archives/edgar/data/0001780652/000110465924048300/can-20231231x20f.htm" TargetMode="External"/><Relationship Id="rId166" Type="http://schemas.openxmlformats.org/officeDocument/2006/relationships/hyperlink" Target="https://www.sec.gov/Archives/edgar/data/1780652/000156459020016788/can-20f_2019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2024-11-22T15:18:16Z</dcterms:created>
  <dcterms:modified xsi:type="dcterms:W3CDTF">2024-11-22T15:18:16Z</dcterms:modified>
</cp:coreProperties>
</file>