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43"/>
          <w:szCs w:val="43"/>
          <w:b w:val="1"/>
          <w:bCs w:val="1"/>
          <w:color w:val="auto"/>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40" w:type="dxa"/>
            <w:vAlign w:val="bottom"/>
            <w:gridSpan w:val="2"/>
          </w:tcPr>
          <w:p>
            <w:pPr>
              <w:ind w:left="33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4"/>
                <w:szCs w:val="24"/>
                <w:color w:val="auto"/>
              </w:rPr>
            </w:pPr>
          </w:p>
        </w:tc>
      </w:tr>
      <w:tr>
        <w:trPr>
          <w:trHeight w:val="169"/>
        </w:trPr>
        <w:tc>
          <w:tcPr>
            <w:tcW w:w="100" w:type="dxa"/>
            <w:vAlign w:val="bottom"/>
          </w:tcPr>
          <w:p>
            <w:pPr>
              <w:spacing w:after="0"/>
              <w:rPr>
                <w:sz w:val="14"/>
                <w:szCs w:val="14"/>
                <w:color w:val="auto"/>
              </w:rPr>
            </w:pPr>
          </w:p>
        </w:tc>
        <w:tc>
          <w:tcPr>
            <w:tcW w:w="15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Exhibit 99.1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Canaan Inc. Provides May 2026 Bitcoin Production and Mining Operation Updates</w:t>
            </w:r>
          </w:p>
        </w:tc>
        <w:tc>
          <w:tcPr>
            <w:tcW w:w="100" w:type="dxa"/>
            <w:vAlign w:val="bottom"/>
          </w:tcPr>
          <w:p>
            <w:pPr>
              <w:spacing w:after="0"/>
              <w:rPr>
                <w:sz w:val="14"/>
                <w:szCs w:val="14"/>
                <w:color w:val="auto"/>
              </w:rPr>
            </w:pPr>
          </w:p>
        </w:tc>
      </w:tr>
      <w:tr>
        <w:trPr>
          <w:trHeight w:val="696"/>
        </w:trPr>
        <w:tc>
          <w:tcPr>
            <w:tcW w:w="10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0" w:type="dxa"/>
            <w:vAlign w:val="bottom"/>
            <w:tcBorders>
              <w:top w:val="single" w:sz="8" w:color="0000EE"/>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tab/>
        <w:t>Nangeng Zhang</w:t>
      </w:r>
    </w:p>
    <w:p>
      <w:pPr>
        <w:spacing w:after="0" w:line="23"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320" w:top="900"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156845</wp:posOffset>
            </wp:positionV>
            <wp:extent cx="138049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04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 Provides May 2026 Bitcoin Production and Mining Operation Updates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North American fleet efficiency improved by ~11% YoY, reaching a record 17.9J/TH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Further expanded global operations with hash-to-heat deployment in the Nordic region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SINGAPORE, June 11, 2026 /PRNewswire/ -- Canaan Inc. (NASDAQ: CAN) (“Canaan” or the “Company”), an innovator in crypto mining, today released its unaudited bitcoin mining update for the month ending May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continued to streamline our self-mining portfolio and improve operational efficiency, our mining operations delivered solid results during May ,” said Nangeng Zhang, chairman and chief executive officer of Canaan. “Our self-mining operations delivered 90 BTC during the month, with an additional 24 BTC originating from customer payments. As a result, our cryptocurrency treasury reached a record high of 1,867 BTC and 3,952 ETH by the month-end. Following the planned expiration of a hosting agreement during the month, we further refined our mining footprint, ending the month with 10.05 EH/s of installed hashrate and 6.47 EH/s of operating hashrate. Importantly, our North American self-mining fleet achieved an average efficiency of 17.9 J/TH, representing our best regional fleet performance to date and an ~11% YoY growth. Our global average mining efficiency in May was 23.7 J/TH, representing a 13.5% improvement YoY. These results demonstrate the resilience and competitiveness of our operations, even amid ongoing industry margin compression.”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Zhang continued, “ Our joint venture operations generated approximately 45 BTC during May, nearly matching April's production despite wildfire- related disruptions at the Alborz site. Restoration efforts are progressing well, and significant stabilization work has already been completed. We expect the site to return to full operations within the coming week. We would like to thank WindHQ for its rapid and professional response to the disruption, which reflects the strong partnership we have built.”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our mining operations, we continue to advance initiatives that demonstrate the broader potential of our infrastructure platform. The expansion of our hash-to-heat deployment in the Nordic region highlights how compute infrastructure can create value beyond traditional mining applications. As demand for AI and computing infrastructure continues to grow, we believe Canaan’s strengths in hardware innovation and energy-efficient systems make us well-positioned to unlock new opportunities where energy and computing can create value together.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2026 Bitcoin Mining Updates (unaudited)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5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5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Results (Rounded Numbers)</w:t>
            </w:r>
          </w:p>
        </w:tc>
      </w:tr>
      <w:tr>
        <w:trPr>
          <w:trHeight w:val="210"/>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Bitcoins Mined During the Month</w:t>
            </w:r>
          </w:p>
        </w:tc>
        <w:tc>
          <w:tcPr>
            <w:tcW w:w="5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90 BTC</w:t>
            </w:r>
          </w:p>
        </w:tc>
      </w:tr>
      <w:tr>
        <w:trPr>
          <w:trHeight w:val="196"/>
        </w:trPr>
        <w:tc>
          <w:tcPr>
            <w:tcW w:w="554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4"/>
                <w:szCs w:val="14"/>
                <w:color w:val="auto"/>
              </w:rPr>
              <w:t>Month-End Bitcoins and ETH Owned by Canaan Inc. on Balance Sheet</w:t>
            </w:r>
            <w:r>
              <w:rPr>
                <w:rFonts w:ascii="Times New Roman" w:cs="Times New Roman" w:eastAsia="Times New Roman" w:hAnsi="Times New Roman"/>
                <w:sz w:val="22"/>
                <w:szCs w:val="22"/>
                <w:color w:val="auto"/>
                <w:vertAlign w:val="superscript"/>
              </w:rPr>
              <w:t>1</w:t>
            </w:r>
          </w:p>
        </w:tc>
        <w:tc>
          <w:tcPr>
            <w:tcW w:w="57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1,867 BTC</w:t>
            </w:r>
          </w:p>
        </w:tc>
      </w:tr>
      <w:tr>
        <w:trPr>
          <w:trHeight w:val="229"/>
        </w:trPr>
        <w:tc>
          <w:tcPr>
            <w:tcW w:w="5540" w:type="dxa"/>
            <w:vAlign w:val="bottom"/>
            <w:tcBorders>
              <w:left w:val="single" w:sz="8" w:color="auto"/>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3,952 ETH</w:t>
            </w:r>
          </w:p>
        </w:tc>
      </w:tr>
      <w:tr>
        <w:trPr>
          <w:trHeight w:val="195"/>
        </w:trPr>
        <w:tc>
          <w:tcPr>
            <w:tcW w:w="554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Month-End Installed Hashrate (EH/s)</w:t>
            </w:r>
          </w:p>
        </w:tc>
        <w:tc>
          <w:tcPr>
            <w:tcW w:w="57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Non-JV: 10.05 EH/s</w:t>
            </w:r>
          </w:p>
        </w:tc>
      </w:tr>
      <w:tr>
        <w:trPr>
          <w:trHeight w:val="271"/>
        </w:trPr>
        <w:tc>
          <w:tcPr>
            <w:tcW w:w="5540" w:type="dxa"/>
            <w:vAlign w:val="bottom"/>
            <w:tcBorders>
              <w:left w:val="single" w:sz="8" w:color="auto"/>
              <w:bottom w:val="single" w:sz="8" w:color="auto"/>
              <w:right w:val="single" w:sz="8" w:color="auto"/>
            </w:tcBorders>
          </w:tcPr>
          <w:p>
            <w:pPr>
              <w:spacing w:after="0"/>
              <w:rPr>
                <w:sz w:val="23"/>
                <w:szCs w:val="23"/>
                <w:color w:val="auto"/>
              </w:rPr>
            </w:pPr>
          </w:p>
        </w:tc>
        <w:tc>
          <w:tcPr>
            <w:tcW w:w="5700" w:type="dxa"/>
            <w:vAlign w:val="bottom"/>
            <w:tcBorders>
              <w:bottom w:val="single" w:sz="8" w:color="auto"/>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4.82 EH/s</w:t>
            </w:r>
          </w:p>
        </w:tc>
      </w:tr>
      <w:tr>
        <w:trPr>
          <w:trHeight w:val="195"/>
        </w:trPr>
        <w:tc>
          <w:tcPr>
            <w:tcW w:w="554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Month-End Operating Hashrate (EH/s)</w:t>
            </w:r>
          </w:p>
        </w:tc>
        <w:tc>
          <w:tcPr>
            <w:tcW w:w="57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Non-JV: 6.47 EH/s</w:t>
            </w:r>
          </w:p>
        </w:tc>
      </w:tr>
      <w:tr>
        <w:trPr>
          <w:trHeight w:val="271"/>
        </w:trPr>
        <w:tc>
          <w:tcPr>
            <w:tcW w:w="5540" w:type="dxa"/>
            <w:vAlign w:val="bottom"/>
            <w:tcBorders>
              <w:left w:val="single" w:sz="8" w:color="auto"/>
              <w:bottom w:val="single" w:sz="8" w:color="auto"/>
              <w:right w:val="single" w:sz="8" w:color="auto"/>
            </w:tcBorders>
          </w:tcPr>
          <w:p>
            <w:pPr>
              <w:spacing w:after="0"/>
              <w:rPr>
                <w:sz w:val="23"/>
                <w:szCs w:val="23"/>
                <w:color w:val="auto"/>
              </w:rPr>
            </w:pPr>
          </w:p>
        </w:tc>
        <w:tc>
          <w:tcPr>
            <w:tcW w:w="5700" w:type="dxa"/>
            <w:vAlign w:val="bottom"/>
            <w:tcBorders>
              <w:bottom w:val="single" w:sz="8" w:color="auto"/>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2.83 EH/s</w:t>
            </w:r>
          </w:p>
        </w:tc>
      </w:tr>
      <w:tr>
        <w:trPr>
          <w:trHeight w:val="250"/>
        </w:trPr>
        <w:tc>
          <w:tcPr>
            <w:tcW w:w="55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17"/>
                <w:szCs w:val="17"/>
                <w:color w:val="auto"/>
              </w:rPr>
              <w:t>Month-End Average Revenue Split</w:t>
            </w:r>
            <w:r>
              <w:rPr>
                <w:rFonts w:ascii="Times New Roman" w:cs="Times New Roman" w:eastAsia="Times New Roman" w:hAnsi="Times New Roman"/>
                <w:sz w:val="28"/>
                <w:szCs w:val="28"/>
                <w:color w:val="auto"/>
                <w:vertAlign w:val="superscript"/>
              </w:rPr>
              <w:t>2</w:t>
            </w:r>
          </w:p>
        </w:tc>
        <w:tc>
          <w:tcPr>
            <w:tcW w:w="5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60.3% (excluding JV ownership)</w:t>
            </w:r>
          </w:p>
        </w:tc>
      </w:tr>
      <w:tr>
        <w:trPr>
          <w:trHeight w:val="250"/>
        </w:trPr>
        <w:tc>
          <w:tcPr>
            <w:tcW w:w="55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17"/>
                <w:szCs w:val="17"/>
                <w:color w:val="auto"/>
              </w:rPr>
              <w:t>Average All-in Power Cost During the Month</w:t>
            </w:r>
            <w:r>
              <w:rPr>
                <w:rFonts w:ascii="Times New Roman" w:cs="Times New Roman" w:eastAsia="Times New Roman" w:hAnsi="Times New Roman"/>
                <w:sz w:val="28"/>
                <w:szCs w:val="28"/>
                <w:color w:val="auto"/>
                <w:vertAlign w:val="superscript"/>
              </w:rPr>
              <w:t>3</w:t>
            </w:r>
          </w:p>
        </w:tc>
        <w:tc>
          <w:tcPr>
            <w:tcW w:w="5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US$0.043/kWh</w:t>
            </w:r>
          </w:p>
        </w:tc>
      </w:tr>
      <w:tr>
        <w:trPr>
          <w:trHeight w:val="668"/>
        </w:trPr>
        <w:tc>
          <w:tcPr>
            <w:tcW w:w="55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May 2026 Bitcoin Mining Infrastructure Updates (unaudited)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20" w:type="dxa"/>
            <w:vAlign w:val="bottom"/>
            <w:tcBorders>
              <w:top w:val="single" w:sz="8" w:color="auto"/>
              <w:left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right w:val="single" w:sz="8" w:color="auto"/>
            </w:tcBorders>
          </w:tcPr>
          <w:p>
            <w:pPr>
              <w:spacing w:after="0"/>
              <w:rPr>
                <w:sz w:val="19"/>
                <w:szCs w:val="19"/>
                <w:color w:val="auto"/>
              </w:rPr>
            </w:pPr>
          </w:p>
        </w:tc>
        <w:tc>
          <w:tcPr>
            <w:tcW w:w="280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28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Non-North America</w:t>
            </w:r>
          </w:p>
        </w:tc>
        <w:tc>
          <w:tcPr>
            <w:tcW w:w="27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w:t>
            </w:r>
          </w:p>
        </w:tc>
      </w:tr>
      <w:tr>
        <w:trPr>
          <w:trHeight w:val="191"/>
        </w:trPr>
        <w:tc>
          <w:tcPr>
            <w:tcW w:w="112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Month-End</w:t>
            </w:r>
          </w:p>
        </w:tc>
        <w:tc>
          <w:tcPr>
            <w:tcW w:w="96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Average</w:t>
            </w:r>
          </w:p>
        </w:tc>
        <w:tc>
          <w:tcPr>
            <w:tcW w:w="76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Miner</w:t>
            </w:r>
          </w:p>
        </w:tc>
        <w:tc>
          <w:tcPr>
            <w:tcW w:w="7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w w:val="99"/>
              </w:rPr>
              <w:t>Non-JV:</w:t>
            </w:r>
          </w:p>
        </w:tc>
        <w:tc>
          <w:tcPr>
            <w:tcW w:w="20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17.9 J/TH</w:t>
            </w:r>
          </w:p>
        </w:tc>
        <w:tc>
          <w:tcPr>
            <w:tcW w:w="28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29.3 J/TH</w:t>
            </w:r>
          </w:p>
        </w:tc>
        <w:tc>
          <w:tcPr>
            <w:tcW w:w="27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Non-JV: 23.7 J/TH</w:t>
            </w:r>
          </w:p>
        </w:tc>
      </w:tr>
      <w:tr>
        <w:trPr>
          <w:trHeight w:val="275"/>
        </w:trPr>
        <w:tc>
          <w:tcPr>
            <w:tcW w:w="11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Efficiency</w:t>
            </w:r>
          </w:p>
        </w:tc>
        <w:tc>
          <w:tcPr>
            <w:tcW w:w="960" w:type="dxa"/>
            <w:vAlign w:val="bottom"/>
            <w:tcBorders>
              <w:bottom w:val="single" w:sz="8" w:color="auto"/>
            </w:tcBorders>
          </w:tcPr>
          <w:p>
            <w:pPr>
              <w:spacing w:after="0"/>
              <w:rPr>
                <w:sz w:val="23"/>
                <w:szCs w:val="23"/>
                <w:color w:val="auto"/>
              </w:rPr>
            </w:pPr>
          </w:p>
        </w:tc>
        <w:tc>
          <w:tcPr>
            <w:tcW w:w="76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gridSpan w:val="2"/>
          </w:tcPr>
          <w:p>
            <w:pPr>
              <w:ind w:left="80"/>
              <w:spacing w:after="0" w:line="274"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26.8 J/TH</w:t>
            </w:r>
          </w:p>
        </w:tc>
        <w:tc>
          <w:tcPr>
            <w:tcW w:w="2820" w:type="dxa"/>
            <w:vAlign w:val="bottom"/>
            <w:tcBorders>
              <w:bottom w:val="single" w:sz="8" w:color="auto"/>
              <w:right w:val="single" w:sz="8" w:color="auto"/>
            </w:tcBorders>
          </w:tcPr>
          <w:p>
            <w:pPr>
              <w:spacing w:after="0"/>
              <w:rPr>
                <w:sz w:val="23"/>
                <w:szCs w:val="23"/>
                <w:color w:val="auto"/>
              </w:rPr>
            </w:pPr>
          </w:p>
        </w:tc>
        <w:tc>
          <w:tcPr>
            <w:tcW w:w="2780" w:type="dxa"/>
            <w:vAlign w:val="bottom"/>
            <w:tcBorders>
              <w:bottom w:val="single" w:sz="8" w:color="auto"/>
              <w:right w:val="single" w:sz="8" w:color="auto"/>
            </w:tcBorders>
          </w:tcPr>
          <w:p>
            <w:pPr>
              <w:ind w:left="80"/>
              <w:spacing w:after="0" w:line="274"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26.8 J/TH</w:t>
            </w:r>
          </w:p>
        </w:tc>
      </w:tr>
      <w:tr>
        <w:trPr>
          <w:trHeight w:val="191"/>
        </w:trPr>
        <w:tc>
          <w:tcPr>
            <w:tcW w:w="112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Month-End</w:t>
            </w:r>
          </w:p>
        </w:tc>
        <w:tc>
          <w:tcPr>
            <w:tcW w:w="96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Installed</w:t>
            </w:r>
          </w:p>
        </w:tc>
        <w:tc>
          <w:tcPr>
            <w:tcW w:w="76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Power</w:t>
            </w:r>
          </w:p>
        </w:tc>
        <w:tc>
          <w:tcPr>
            <w:tcW w:w="7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w w:val="99"/>
              </w:rPr>
              <w:t>Non-JV:</w:t>
            </w:r>
          </w:p>
        </w:tc>
        <w:tc>
          <w:tcPr>
            <w:tcW w:w="20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88.7 MW</w:t>
            </w:r>
          </w:p>
        </w:tc>
        <w:tc>
          <w:tcPr>
            <w:tcW w:w="28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157.5 MW</w:t>
            </w:r>
          </w:p>
        </w:tc>
        <w:tc>
          <w:tcPr>
            <w:tcW w:w="27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Non-JV: 246.2 MW</w:t>
            </w:r>
          </w:p>
        </w:tc>
      </w:tr>
      <w:tr>
        <w:trPr>
          <w:trHeight w:val="275"/>
        </w:trPr>
        <w:tc>
          <w:tcPr>
            <w:tcW w:w="11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Capacity</w:t>
            </w:r>
          </w:p>
        </w:tc>
        <w:tc>
          <w:tcPr>
            <w:tcW w:w="960" w:type="dxa"/>
            <w:vAlign w:val="bottom"/>
            <w:tcBorders>
              <w:bottom w:val="single" w:sz="8" w:color="auto"/>
            </w:tcBorders>
          </w:tcPr>
          <w:p>
            <w:pPr>
              <w:spacing w:after="0"/>
              <w:rPr>
                <w:sz w:val="23"/>
                <w:szCs w:val="23"/>
                <w:color w:val="auto"/>
              </w:rPr>
            </w:pPr>
          </w:p>
        </w:tc>
        <w:tc>
          <w:tcPr>
            <w:tcW w:w="76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gridSpan w:val="2"/>
          </w:tcPr>
          <w:p>
            <w:pPr>
              <w:ind w:left="80"/>
              <w:spacing w:after="0" w:line="274"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120 MW</w:t>
            </w:r>
          </w:p>
        </w:tc>
        <w:tc>
          <w:tcPr>
            <w:tcW w:w="2820" w:type="dxa"/>
            <w:vAlign w:val="bottom"/>
            <w:tcBorders>
              <w:bottom w:val="single" w:sz="8" w:color="auto"/>
              <w:right w:val="single" w:sz="8" w:color="auto"/>
            </w:tcBorders>
          </w:tcPr>
          <w:p>
            <w:pPr>
              <w:spacing w:after="0"/>
              <w:rPr>
                <w:sz w:val="23"/>
                <w:szCs w:val="23"/>
                <w:color w:val="auto"/>
              </w:rPr>
            </w:pPr>
          </w:p>
        </w:tc>
        <w:tc>
          <w:tcPr>
            <w:tcW w:w="2780" w:type="dxa"/>
            <w:vAlign w:val="bottom"/>
            <w:tcBorders>
              <w:bottom w:val="single" w:sz="8" w:color="auto"/>
              <w:right w:val="single" w:sz="8" w:color="auto"/>
            </w:tcBorders>
          </w:tcPr>
          <w:p>
            <w:pPr>
              <w:ind w:left="80"/>
              <w:spacing w:after="0" w:line="274"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120 MW</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9" w:lineRule="exact"/>
        <w:rPr>
          <w:sz w:val="20"/>
          <w:szCs w:val="20"/>
          <w:color w:val="auto"/>
        </w:rPr>
      </w:pPr>
    </w:p>
    <w:p>
      <w:pPr>
        <w:ind w:left="340" w:hanging="332"/>
        <w:spacing w:after="0" w:line="250"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total number of bitcoins and ETH owned by the Company on its balance sheet, including any bitcoins and ETH receivable, excluding bitcoins and ETH that the Company has received as customer deposits.</w:t>
      </w:r>
    </w:p>
    <w:p>
      <w:pPr>
        <w:ind w:left="340" w:hanging="332"/>
        <w:spacing w:after="0" w:line="250"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weighted average percentage that Canaan would receive from the total revenues generated according to the applicable joint mining arrangements if 100% of the mining machines consisting of Installed Computing Power (as defined below) were energized.</w:t>
      </w:r>
    </w:p>
    <w:p>
      <w:pPr>
        <w:ind w:left="340" w:hanging="332"/>
        <w:spacing w:after="0"/>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weighted average cost of power if 100% of the mining machines consisting of Installed Computing Power were energized.</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line="260"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“JV” represents the Company’s 49% stake in the Alborz, Bear, and Chief Mountain facilities in West Texas. JV metrics are shown separately and are not included in bitcoin production or average all-in power cost calculations.</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Mining Projects (As of May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Regions</w:t>
            </w:r>
          </w:p>
        </w:tc>
        <w:tc>
          <w:tcPr>
            <w:tcW w:w="1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6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5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6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108"/>
        </w:trPr>
        <w:tc>
          <w:tcPr>
            <w:tcW w:w="3040" w:type="dxa"/>
            <w:vAlign w:val="bottom"/>
            <w:vMerge w:val="continue"/>
          </w:tcPr>
          <w:p>
            <w:pPr>
              <w:spacing w:after="0"/>
              <w:rPr>
                <w:sz w:val="9"/>
                <w:szCs w:val="9"/>
                <w:color w:val="auto"/>
              </w:rPr>
            </w:pPr>
          </w:p>
        </w:tc>
        <w:tc>
          <w:tcPr>
            <w:tcW w:w="17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Mining</w:t>
            </w:r>
          </w:p>
        </w:tc>
        <w:tc>
          <w:tcPr>
            <w:tcW w:w="16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30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 alphabetical order</w:t>
            </w:r>
          </w:p>
        </w:tc>
        <w:tc>
          <w:tcPr>
            <w:tcW w:w="1720" w:type="dxa"/>
            <w:vAlign w:val="bottom"/>
            <w:vMerge w:val="continue"/>
          </w:tcPr>
          <w:p>
            <w:pPr>
              <w:spacing w:after="0"/>
              <w:rPr>
                <w:sz w:val="9"/>
                <w:szCs w:val="9"/>
                <w:color w:val="auto"/>
              </w:rPr>
            </w:pPr>
          </w:p>
        </w:tc>
        <w:tc>
          <w:tcPr>
            <w:tcW w:w="16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Computing</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Computing</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Computing</w:t>
            </w: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040" w:type="dxa"/>
            <w:vAlign w:val="bottom"/>
            <w:vMerge w:val="continue"/>
          </w:tcPr>
          <w:p>
            <w:pPr>
              <w:spacing w:after="0"/>
              <w:rPr>
                <w:sz w:val="9"/>
                <w:szCs w:val="9"/>
                <w:color w:val="auto"/>
              </w:rPr>
            </w:pPr>
          </w:p>
        </w:tc>
        <w:tc>
          <w:tcPr>
            <w:tcW w:w="17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Projects</w:t>
            </w:r>
          </w:p>
        </w:tc>
        <w:tc>
          <w:tcPr>
            <w:tcW w:w="16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Computing</w:t>
            </w:r>
          </w:p>
        </w:tc>
        <w:tc>
          <w:tcPr>
            <w:tcW w:w="0" w:type="dxa"/>
            <w:vAlign w:val="bottom"/>
          </w:tcPr>
          <w:p>
            <w:pPr>
              <w:spacing w:after="0"/>
              <w:rPr>
                <w:sz w:val="1"/>
                <w:szCs w:val="1"/>
                <w:color w:val="auto"/>
              </w:rPr>
            </w:pPr>
          </w:p>
        </w:tc>
      </w:tr>
      <w:tr>
        <w:trPr>
          <w:trHeight w:val="108"/>
        </w:trPr>
        <w:tc>
          <w:tcPr>
            <w:tcW w:w="30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 to Z)</w:t>
            </w:r>
          </w:p>
        </w:tc>
        <w:tc>
          <w:tcPr>
            <w:tcW w:w="1720" w:type="dxa"/>
            <w:vAlign w:val="bottom"/>
            <w:vMerge w:val="continue"/>
          </w:tcPr>
          <w:p>
            <w:pPr>
              <w:spacing w:after="0"/>
              <w:rPr>
                <w:sz w:val="9"/>
                <w:szCs w:val="9"/>
                <w:color w:val="auto"/>
              </w:rPr>
            </w:pPr>
          </w:p>
        </w:tc>
        <w:tc>
          <w:tcPr>
            <w:tcW w:w="1680" w:type="dxa"/>
            <w:vAlign w:val="bottom"/>
            <w:vMerge w:val="restart"/>
          </w:tcPr>
          <w:p>
            <w:pPr>
              <w:jc w:val="center"/>
              <w:ind w:left="70"/>
              <w:spacing w:after="0" w:line="328" w:lineRule="exact"/>
              <w:rPr>
                <w:sz w:val="20"/>
                <w:szCs w:val="20"/>
                <w:color w:val="auto"/>
              </w:rPr>
            </w:pPr>
            <w:r>
              <w:rPr>
                <w:rFonts w:ascii="Times New Roman" w:cs="Times New Roman" w:eastAsia="Times New Roman" w:hAnsi="Times New Roman"/>
                <w:sz w:val="18"/>
                <w:szCs w:val="18"/>
                <w:b w:val="1"/>
                <w:bCs w:val="1"/>
                <w:color w:val="auto"/>
                <w:w w:val="95"/>
              </w:rPr>
              <w:t>Power</w:t>
            </w:r>
            <w:r>
              <w:rPr>
                <w:rFonts w:ascii="Times New Roman" w:cs="Times New Roman" w:eastAsia="Times New Roman" w:hAnsi="Times New Roman"/>
                <w:sz w:val="29"/>
                <w:szCs w:val="29"/>
                <w:b w:val="1"/>
                <w:bCs w:val="1"/>
                <w:color w:val="auto"/>
                <w:w w:val="95"/>
                <w:vertAlign w:val="superscript"/>
              </w:rPr>
              <w:t>5</w:t>
            </w:r>
          </w:p>
        </w:tc>
        <w:tc>
          <w:tcPr>
            <w:tcW w:w="1520" w:type="dxa"/>
            <w:vAlign w:val="bottom"/>
            <w:vMerge w:val="restart"/>
          </w:tcPr>
          <w:p>
            <w:pPr>
              <w:jc w:val="center"/>
              <w:spacing w:after="0" w:line="328" w:lineRule="exact"/>
              <w:rPr>
                <w:sz w:val="20"/>
                <w:szCs w:val="20"/>
                <w:color w:val="auto"/>
              </w:rPr>
            </w:pPr>
            <w:r>
              <w:rPr>
                <w:rFonts w:ascii="Times New Roman" w:cs="Times New Roman" w:eastAsia="Times New Roman" w:hAnsi="Times New Roman"/>
                <w:sz w:val="18"/>
                <w:szCs w:val="18"/>
                <w:b w:val="1"/>
                <w:bCs w:val="1"/>
                <w:color w:val="auto"/>
                <w:w w:val="95"/>
              </w:rPr>
              <w:t>Power</w:t>
            </w:r>
            <w:r>
              <w:rPr>
                <w:rFonts w:ascii="Times New Roman" w:cs="Times New Roman" w:eastAsia="Times New Roman" w:hAnsi="Times New Roman"/>
                <w:sz w:val="29"/>
                <w:szCs w:val="29"/>
                <w:b w:val="1"/>
                <w:bCs w:val="1"/>
                <w:color w:val="auto"/>
                <w:w w:val="95"/>
                <w:vertAlign w:val="superscript"/>
              </w:rPr>
              <w:t>6</w:t>
            </w:r>
          </w:p>
        </w:tc>
        <w:tc>
          <w:tcPr>
            <w:tcW w:w="1600" w:type="dxa"/>
            <w:vAlign w:val="bottom"/>
            <w:vMerge w:val="restart"/>
          </w:tcPr>
          <w:p>
            <w:pPr>
              <w:jc w:val="center"/>
              <w:spacing w:after="0" w:line="328" w:lineRule="exact"/>
              <w:rPr>
                <w:sz w:val="20"/>
                <w:szCs w:val="20"/>
                <w:color w:val="auto"/>
              </w:rPr>
            </w:pPr>
            <w:r>
              <w:rPr>
                <w:rFonts w:ascii="Times New Roman" w:cs="Times New Roman" w:eastAsia="Times New Roman" w:hAnsi="Times New Roman"/>
                <w:sz w:val="18"/>
                <w:szCs w:val="18"/>
                <w:b w:val="1"/>
                <w:bCs w:val="1"/>
                <w:color w:val="auto"/>
                <w:w w:val="95"/>
              </w:rPr>
              <w:t>Power</w:t>
            </w:r>
            <w:r>
              <w:rPr>
                <w:rFonts w:ascii="Times New Roman" w:cs="Times New Roman" w:eastAsia="Times New Roman" w:hAnsi="Times New Roman"/>
                <w:sz w:val="29"/>
                <w:szCs w:val="29"/>
                <w:b w:val="1"/>
                <w:bCs w:val="1"/>
                <w:color w:val="auto"/>
                <w:w w:val="95"/>
                <w:vertAlign w:val="superscript"/>
              </w:rPr>
              <w:t>7</w:t>
            </w: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3040" w:type="dxa"/>
            <w:vAlign w:val="bottom"/>
            <w:vMerge w:val="continue"/>
          </w:tcPr>
          <w:p>
            <w:pPr>
              <w:spacing w:after="0"/>
              <w:rPr>
                <w:sz w:val="19"/>
                <w:szCs w:val="19"/>
                <w:color w:val="auto"/>
              </w:rPr>
            </w:pPr>
          </w:p>
        </w:tc>
        <w:tc>
          <w:tcPr>
            <w:tcW w:w="17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Count</w:t>
            </w:r>
          </w:p>
        </w:tc>
        <w:tc>
          <w:tcPr>
            <w:tcW w:w="168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680" w:type="dxa"/>
            <w:vAlign w:val="bottom"/>
            <w:vMerge w:val="restart"/>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5"/>
              </w:rPr>
              <w:t>Power</w:t>
            </w:r>
            <w:r>
              <w:rPr>
                <w:rFonts w:ascii="Times New Roman" w:cs="Times New Roman" w:eastAsia="Times New Roman" w:hAnsi="Times New Roman"/>
                <w:sz w:val="29"/>
                <w:szCs w:val="29"/>
                <w:b w:val="1"/>
                <w:bCs w:val="1"/>
                <w:color w:val="auto"/>
                <w:w w:val="95"/>
                <w:vertAlign w:val="superscript"/>
              </w:rPr>
              <w:t>8</w:t>
            </w:r>
          </w:p>
        </w:tc>
        <w:tc>
          <w:tcPr>
            <w:tcW w:w="0" w:type="dxa"/>
            <w:vAlign w:val="bottom"/>
          </w:tcPr>
          <w:p>
            <w:pPr>
              <w:spacing w:after="0"/>
              <w:rPr>
                <w:sz w:val="1"/>
                <w:szCs w:val="1"/>
                <w:color w:val="auto"/>
              </w:rPr>
            </w:pPr>
          </w:p>
        </w:tc>
      </w:tr>
      <w:tr>
        <w:trPr>
          <w:trHeight w:val="54"/>
        </w:trPr>
        <w:tc>
          <w:tcPr>
            <w:tcW w:w="30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vMerge w:val="continue"/>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040" w:type="dxa"/>
            <w:vAlign w:val="bottom"/>
          </w:tcPr>
          <w:p>
            <w:pPr>
              <w:jc w:val="center"/>
              <w:ind w:left="30"/>
              <w:spacing w:after="0" w:line="195" w:lineRule="exact"/>
              <w:rPr>
                <w:sz w:val="20"/>
                <w:szCs w:val="20"/>
                <w:color w:val="auto"/>
              </w:rPr>
            </w:pPr>
            <w:r>
              <w:rPr>
                <w:rFonts w:ascii="Times New Roman" w:cs="Times New Roman" w:eastAsia="Times New Roman" w:hAnsi="Times New Roman"/>
                <w:sz w:val="18"/>
                <w:szCs w:val="18"/>
                <w:b w:val="1"/>
                <w:bCs w:val="1"/>
                <w:color w:val="auto"/>
                <w:w w:val="99"/>
              </w:rPr>
              <w:t>Global</w:t>
            </w:r>
          </w:p>
        </w:tc>
        <w:tc>
          <w:tcPr>
            <w:tcW w:w="1720" w:type="dxa"/>
            <w:vAlign w:val="bottom"/>
          </w:tcPr>
          <w:p>
            <w:pPr>
              <w:jc w:val="center"/>
              <w:ind w:left="90"/>
              <w:spacing w:after="0" w:line="195" w:lineRule="exact"/>
              <w:rPr>
                <w:sz w:val="20"/>
                <w:szCs w:val="20"/>
                <w:color w:val="auto"/>
              </w:rPr>
            </w:pPr>
            <w:r>
              <w:rPr>
                <w:rFonts w:ascii="Times New Roman" w:cs="Times New Roman" w:eastAsia="Times New Roman" w:hAnsi="Times New Roman"/>
                <w:sz w:val="18"/>
                <w:szCs w:val="18"/>
                <w:b w:val="1"/>
                <w:bCs w:val="1"/>
                <w:color w:val="auto"/>
                <w:w w:val="99"/>
              </w:rPr>
              <w:t>12</w:t>
            </w:r>
          </w:p>
        </w:tc>
        <w:tc>
          <w:tcPr>
            <w:tcW w:w="1680" w:type="dxa"/>
            <w:vAlign w:val="bottom"/>
          </w:tcPr>
          <w:p>
            <w:pPr>
              <w:jc w:val="center"/>
              <w:ind w:left="90"/>
              <w:spacing w:after="0" w:line="195" w:lineRule="exact"/>
              <w:rPr>
                <w:sz w:val="20"/>
                <w:szCs w:val="20"/>
                <w:color w:val="auto"/>
              </w:rPr>
            </w:pPr>
            <w:r>
              <w:rPr>
                <w:rFonts w:ascii="Times New Roman" w:cs="Times New Roman" w:eastAsia="Times New Roman" w:hAnsi="Times New Roman"/>
                <w:sz w:val="18"/>
                <w:szCs w:val="18"/>
                <w:b w:val="1"/>
                <w:bCs w:val="1"/>
                <w:color w:val="auto"/>
                <w:w w:val="99"/>
              </w:rPr>
              <w:t>9.29 EH/s</w:t>
            </w:r>
          </w:p>
        </w:tc>
        <w:tc>
          <w:tcPr>
            <w:tcW w:w="15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rPr>
              <w:t>14.86 EH/s</w:t>
            </w:r>
          </w:p>
        </w:tc>
        <w:tc>
          <w:tcPr>
            <w:tcW w:w="16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0.10 EH/s</w:t>
            </w:r>
          </w:p>
        </w:tc>
        <w:tc>
          <w:tcPr>
            <w:tcW w:w="16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rPr>
              <w:t>14.96 EH/s</w:t>
            </w:r>
          </w:p>
        </w:tc>
        <w:tc>
          <w:tcPr>
            <w:tcW w:w="0" w:type="dxa"/>
            <w:vAlign w:val="bottom"/>
          </w:tcPr>
          <w:p>
            <w:pPr>
              <w:spacing w:after="0"/>
              <w:rPr>
                <w:sz w:val="1"/>
                <w:szCs w:val="1"/>
                <w:color w:val="auto"/>
              </w:rPr>
            </w:pPr>
          </w:p>
        </w:tc>
      </w:tr>
      <w:tr>
        <w:trPr>
          <w:trHeight w:val="257"/>
        </w:trPr>
        <w:tc>
          <w:tcPr>
            <w:tcW w:w="3040" w:type="dxa"/>
            <w:vAlign w:val="bottom"/>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4"/>
              </w:rPr>
              <w:t>America</w:t>
            </w:r>
            <w:r>
              <w:rPr>
                <w:rFonts w:ascii="Times New Roman" w:cs="Times New Roman" w:eastAsia="Times New Roman" w:hAnsi="Times New Roman"/>
                <w:sz w:val="29"/>
                <w:szCs w:val="29"/>
                <w:color w:val="auto"/>
                <w:w w:val="94"/>
                <w:vertAlign w:val="superscript"/>
              </w:rPr>
              <w:t>9</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4</w:t>
            </w:r>
          </w:p>
        </w:tc>
        <w:tc>
          <w:tcPr>
            <w:tcW w:w="1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4.16 EH/s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4.90 EH/s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 EH/s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4.90 EH/s</w:t>
            </w:r>
          </w:p>
        </w:tc>
        <w:tc>
          <w:tcPr>
            <w:tcW w:w="0" w:type="dxa"/>
            <w:vAlign w:val="bottom"/>
          </w:tcPr>
          <w:p>
            <w:pPr>
              <w:spacing w:after="0"/>
              <w:rPr>
                <w:sz w:val="1"/>
                <w:szCs w:val="1"/>
                <w:color w:val="auto"/>
              </w:rPr>
            </w:pPr>
          </w:p>
        </w:tc>
      </w:tr>
      <w:tr>
        <w:trPr>
          <w:trHeight w:val="253"/>
        </w:trPr>
        <w:tc>
          <w:tcPr>
            <w:tcW w:w="3040" w:type="dxa"/>
            <w:vAlign w:val="bottom"/>
          </w:tcPr>
          <w:p>
            <w:pPr>
              <w:jc w:val="center"/>
              <w:ind w:left="30"/>
              <w:spacing w:after="0" w:line="252" w:lineRule="exact"/>
              <w:rPr>
                <w:sz w:val="20"/>
                <w:szCs w:val="20"/>
                <w:color w:val="auto"/>
              </w:rPr>
            </w:pPr>
            <w:r>
              <w:rPr>
                <w:rFonts w:ascii="Times New Roman" w:cs="Times New Roman" w:eastAsia="Times New Roman" w:hAnsi="Times New Roman"/>
                <w:sz w:val="18"/>
                <w:szCs w:val="18"/>
                <w:color w:val="auto"/>
                <w:w w:val="93"/>
              </w:rPr>
              <w:t>JV-WindHQ</w:t>
            </w:r>
            <w:r>
              <w:rPr>
                <w:rFonts w:ascii="Times New Roman" w:cs="Times New Roman" w:eastAsia="Times New Roman" w:hAnsi="Times New Roman"/>
                <w:sz w:val="29"/>
                <w:szCs w:val="29"/>
                <w:color w:val="auto"/>
                <w:w w:val="93"/>
                <w:vertAlign w:val="superscript"/>
              </w:rPr>
              <w:t>10</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3</w:t>
            </w:r>
          </w:p>
        </w:tc>
        <w:tc>
          <w:tcPr>
            <w:tcW w:w="1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2.83 EH/s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 EH/s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 EH/s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 EH/s</w:t>
            </w:r>
          </w:p>
        </w:tc>
        <w:tc>
          <w:tcPr>
            <w:tcW w:w="0" w:type="dxa"/>
            <w:vAlign w:val="bottom"/>
          </w:tcPr>
          <w:p>
            <w:pPr>
              <w:spacing w:after="0"/>
              <w:rPr>
                <w:sz w:val="1"/>
                <w:szCs w:val="1"/>
                <w:color w:val="auto"/>
              </w:rPr>
            </w:pPr>
          </w:p>
        </w:tc>
      </w:tr>
      <w:tr>
        <w:trPr>
          <w:trHeight w:val="216"/>
        </w:trPr>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Canada</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1</w:t>
            </w:r>
          </w:p>
        </w:tc>
        <w:tc>
          <w:tcPr>
            <w:tcW w:w="1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0.00 EH/s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0.06 EH/s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 EH/s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0.16 EH/s</w:t>
            </w:r>
          </w:p>
        </w:tc>
        <w:tc>
          <w:tcPr>
            <w:tcW w:w="0" w:type="dxa"/>
            <w:vAlign w:val="bottom"/>
          </w:tcPr>
          <w:p>
            <w:pPr>
              <w:spacing w:after="0"/>
              <w:rPr>
                <w:sz w:val="1"/>
                <w:szCs w:val="1"/>
                <w:color w:val="auto"/>
              </w:rPr>
            </w:pPr>
          </w:p>
        </w:tc>
      </w:tr>
      <w:tr>
        <w:trPr>
          <w:trHeight w:val="216"/>
        </w:trPr>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Ethiopia</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2</w:t>
            </w:r>
          </w:p>
        </w:tc>
        <w:tc>
          <w:tcPr>
            <w:tcW w:w="1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2.20 EH/s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4.96 EH/s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 EH/s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4.96 EH/s</w:t>
            </w:r>
          </w:p>
        </w:tc>
        <w:tc>
          <w:tcPr>
            <w:tcW w:w="0" w:type="dxa"/>
            <w:vAlign w:val="bottom"/>
          </w:tcPr>
          <w:p>
            <w:pPr>
              <w:spacing w:after="0"/>
              <w:rPr>
                <w:sz w:val="1"/>
                <w:szCs w:val="1"/>
                <w:color w:val="auto"/>
              </w:rPr>
            </w:pPr>
          </w:p>
        </w:tc>
      </w:tr>
      <w:tr>
        <w:trPr>
          <w:trHeight w:val="216"/>
        </w:trPr>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Middle East</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1</w:t>
            </w:r>
          </w:p>
        </w:tc>
        <w:tc>
          <w:tcPr>
            <w:tcW w:w="1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0.02 EH/s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0.04 EH/s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 EH/s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0.04 EH/s</w:t>
            </w:r>
          </w:p>
        </w:tc>
        <w:tc>
          <w:tcPr>
            <w:tcW w:w="0" w:type="dxa"/>
            <w:vAlign w:val="bottom"/>
          </w:tcPr>
          <w:p>
            <w:pPr>
              <w:spacing w:after="0"/>
              <w:rPr>
                <w:sz w:val="1"/>
                <w:szCs w:val="1"/>
                <w:color w:val="auto"/>
              </w:rPr>
            </w:pPr>
          </w:p>
        </w:tc>
      </w:tr>
      <w:tr>
        <w:trPr>
          <w:trHeight w:val="234"/>
        </w:trPr>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Malaysia</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1</w:t>
            </w:r>
          </w:p>
        </w:tc>
        <w:tc>
          <w:tcPr>
            <w:tcW w:w="1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0.08 EH/s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0.08 EH/s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 EH/s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0.08 EH/s</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9" w:lineRule="exact"/>
        <w:rPr>
          <w:sz w:val="20"/>
          <w:szCs w:val="20"/>
          <w:color w:val="auto"/>
        </w:rPr>
      </w:pPr>
    </w:p>
    <w:p>
      <w:pPr>
        <w:ind w:left="340" w:hanging="332"/>
        <w:spacing w:after="0" w:line="250" w:lineRule="auto"/>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amount of computing power that could theoretically be generated if all mining machines that have been energized were currently in operation, including mining machines that may be temporarily offline.</w:t>
      </w: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sum of Operating Computing Power and computing power that has been installed but not yet in operation, if any.</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amount of computing power that has been delivered to the country where each mining project is located, but not yet installed.</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sum of Installed Computing Power and Expected Computing Power.</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decrease in active mining projects in America is due to the planned expiration of a hosting agreement during the month.</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line="260" w:lineRule="auto"/>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decrease in operating computing power in JV-WindHQ is due to wildfire-related disruptions at the Alborz site, which is expected to resume full operations in mid-June.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Won Competitive Bid to Provide Hash-to-Heat Equipment to Nordic District Heating Network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19, 2026, the Company announced that it had been selected to support a district heating network in the Nordic region with a combined capacity of approximately 8 MW. The project utilizes the Company's Avalon A1566HA hydro-cooled units and leverages Canaan's proprietary semiconductor and system design technologies to support dynamic overclocking and underclocking, enabling the stable delivery of hot water at temperatures of approximately 80 degrees Celsius for integration into existing district heating infrastructure. The project builds upon a successful initial deployment of approximately 2 MW, which is currently operating and supplying hot water to local residents. Following the strong performance of the first phase, the Customer placed a follow-on order in March 2026 for an additional 6 MW of capacity. This deployment further demonstrates the commercial viability of the Company's hash-to-heat technology and its potential to accelerate the replacement of legacy heating systems, while creating value beyond traditional bitcoin mining applications through energy-efficient heating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Extended Collaboration with Tether on New Form Factors for Mining and Compute Systems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28, 2026, the Company announced that it had secured a follow-on order from Tether for high-density mining hash board modules, custom-developed to support next-generation immersion-cooled mining and computing systems. The agreement follows a successful 2025 proof-of-concept (POC) R&amp;D project conducted in partnership with Tether and ACME Swisstech, a Swiss-based R&amp;D firm specializing in innovative mining system solutions. This follow-on order is slated for deployment at a Tether-affiliated mining facility in South America. The collaboration reflects a broader trend toward partner-driven, modular mining architectures, where infrastructure operators design optimized systems around high-performance compute building blocks —combining Canaan’s ASIC expertise with Tether’s drive for optimized, independently cooled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Canaan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https://www.canaan.io/.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Canaan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IR@canaan-creative.com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 Arnell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canaan@christensencomms.com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Jesse Colzani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canaan@blocksbridge.com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2026-06-11T08:19:37Z</dcterms:created>
  <dcterms:modified xsi:type="dcterms:W3CDTF">2026-06-11T08:19:37Z</dcterms:modified>
</cp:coreProperties>
</file>