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330530d1_6k.htm"/>
      <w:bookmarkStart w:id="1" w:name="kstm2330530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UNITED STATES</w:t>
        <w:br/>
        <w:t>SECURITIES AND EXCHANGE COMMISSION</w:t>
        <w:br/>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November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001-39127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Canaan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28 Ayer Rajah Crescent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#06-08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139959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6-K is incorporated by reference into the registration statement on Form F-3 of the Company (File No. 333-255470) and shall be a part thereof from the date on which this current report is furnished,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 Engages with B. Riley Securities as the New Sales Agent for Its At-The-Market Offering and Files Updated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2023, Canaan Inc. (NASDAQ: CAN) (“Canaan” or the “Company” or “We”) entered into an At Market Issuance Sales Agreement (the “ATM Agreement”) with B. Riley Securities, Inc. as a sales agent (the “sales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filed a new prospectus supplement, dated November 13, 2023, Eastern Standard Time (the “Prospectus Supplement”) setting up the new at-the-market equity offering program (the “ATM Program” or “ATM”), under which the Company may sell up to an aggregate of US$148 million of its American depositary shares (“ADSs”), each representing fifteen Class A ordinary shares of the Company, </w:t>
      </w:r>
      <w:r>
        <w:rPr>
          <w:rFonts w:ascii="Times New Roman;Times;Serif" w:hAnsi="Times New Roman;Times;Serif"/>
          <w:b w:val="false"/>
          <w:i w:val="false"/>
          <w:caps w:val="false"/>
          <w:smallCaps w:val="false"/>
          <w:color w:val="231F20"/>
          <w:sz w:val="20"/>
        </w:rPr>
        <w:t>through or to the sales agent</w:t>
      </w:r>
      <w:r>
        <w:rPr>
          <w:rFonts w:ascii="Times New Roman;Times;Serif" w:hAnsi="Times New Roman;Times;Serif"/>
          <w:b w:val="false"/>
          <w:i w:val="false"/>
          <w:caps w:val="false"/>
          <w:smallCaps w:val="false"/>
          <w:sz w:val="20"/>
        </w:rPr>
        <w:t>. The timing and extent of the use of the ATM Program will be at the discretion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ATM Agreement, the sales agent may sell the ADSs by any method permitted that is deemed an “at the market” offering as defined in Rule 415 under the Securities Act of 1933, as amended. The sales agent will use commercially reasonable efforts consistent with its normal trading and sales practices to sell the Shares from time to time, based upon instructions from the Company, including sales made directly on or through the NASDAQ Global Market or any other existing trading market in the United States for ADSs representing our Class A ordinary shares, sales made to or through a market maker other than on an exchange or otherwise, directly to the sales agent as principal, and/or in any other method permitted by law. Under the ATM Agreement, the sales agent is not required to sell any specific number or dollar amount of securities, but will act as our sales agent using commercially reasonable efforts consistent with its normal trading and sales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will be offered under the Company’s existing shelf registration statement, including the accompanying base prospectus, on Form F-3, as amended, which was initially filed with the SEC on April 23, 2021 and became effective on May 1, 2023 (File No. 333-255470). The registration statement on Form F-3, as amended, including the accompanying base prospectus, and the Prospectus Supplement are available at the SEC’s website at: https://www.sec.gov, and may also be obtained by contacting B. Riley Securities, Inc. at 299 Park Avenue, 21st Floor, New York, NY 10171, by phone at (212) 457-9947 or e-mail at atmdesk@brileyfin.com.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chooses to sell ADSs under the ATM Program, it intends to use the net proceeds of this offering for research and development, expansion of production scale, and other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November 10, 2023, the Company terminated its at-the-market offering agreement with H.C. Wainwright &amp; Co., LLC (“Wainwright”), dated as of April 8, 2022 (as amended by the amendment No. 1 to the at-the-market offering agreement dated as of November 23, 2022) related to the offer and sale of the Company’s ADSs in at-the-market offerings. The Company executed the above sales within ten trading days in March 2023 and did not utilize the ATM after March 31, 2023. At the time of such termination, the Company had received net proceeds of approximately US$4.2 million from the sale of 1,532,219 ADSs. The Company would like to extend its thanks to Wainwright for their support in the prior sales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Form 6-K is for informational purposes only and is not an offer to sell or a solicitation of an offer to buy any securities, which is made only by means of a prospectus supplement and related prospectus. There will be no sale of these securities in any jurisdiction in which such an offer, solicitation of an offer to buy or sale would be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6-K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Canaan Inc.'s anticipated financing plans and its intended use of proceeds contain forward−looking statements. Canaan Inc.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Canaan Inc.'s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financial condition and results of operations; the expected growth of the bitcoin industry and the price of bitcoin; the Company's expectations regarding demand for and market acceptance of its products, especially its bitcoin mining machines; the Company's expectations regarding maintaining and strengthening its relationships with production partners and customers; the Company's investment plans and strategies, fluctuations in the Company's quarterly operating results; competition in its industry in China; and relevant government policies and regulations relating to the Company and cryptocurrency. Further information regarding these and other risks is included in the Company's filings with the SEC. All information provided in this Form 6-K and in the attachments is as of the date of this Form 6-K, and Canaan Inc. does not undertake any obligation to update any forward−looking statement,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61"/>
        <w:gridCol w:w="60"/>
        <w:gridCol w:w="8784"/>
      </w:tblGrid>
      <w:tr>
        <w:trPr/>
        <w:tc>
          <w:tcPr>
            <w:tcW w:w="1361"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pPr>
            <w:r>
              <w:rPr/>
              <w:t> </w:t>
            </w:r>
          </w:p>
        </w:tc>
        <w:tc>
          <w:tcPr>
            <w:tcW w:w="8784"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3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4" w:type="dxa"/>
            <w:tcBorders/>
            <w:vAlign w:val="center"/>
          </w:tcPr>
          <w:p>
            <w:pPr>
              <w:pStyle w:val="TableContents"/>
              <w:bidi w:val="0"/>
              <w:spacing w:before="0" w:after="283"/>
              <w:jc w:val="left"/>
              <w:rPr/>
            </w:pPr>
            <w:r>
              <w:rPr/>
              <w:t> </w:t>
            </w:r>
          </w:p>
        </w:tc>
      </w:tr>
      <w:tr>
        <w:trPr/>
        <w:tc>
          <w:tcPr>
            <w:tcW w:w="1361" w:type="dxa"/>
            <w:tcBorders/>
            <w:vAlign w:val="center"/>
          </w:tcPr>
          <w:p>
            <w:pPr>
              <w:pStyle w:val="TableContents"/>
              <w:bidi w:val="0"/>
              <w:spacing w:before="0" w:after="283"/>
              <w:jc w:val="left"/>
              <w:rPr/>
            </w:pPr>
            <w:hyperlink w:anchor="tm2330530d1_ex5-1.htm">
              <w:r>
                <w:rPr>
                  <w:rStyle w:val="InternetLink"/>
                </w:rPr>
                <w:t>Exhibit 5.1</w:t>
              </w:r>
            </w:hyperlink>
          </w:p>
        </w:tc>
        <w:tc>
          <w:tcPr>
            <w:tcW w:w="60" w:type="dxa"/>
            <w:tcBorders/>
            <w:vAlign w:val="center"/>
          </w:tcPr>
          <w:p>
            <w:pPr>
              <w:pStyle w:val="TableContents"/>
              <w:bidi w:val="0"/>
              <w:spacing w:before="0" w:after="283"/>
              <w:jc w:val="left"/>
              <w:rPr/>
            </w:pPr>
            <w:r>
              <w:rPr/>
              <w:t> </w:t>
            </w:r>
          </w:p>
        </w:tc>
        <w:tc>
          <w:tcPr>
            <w:tcW w:w="8784" w:type="dxa"/>
            <w:tcBorders/>
            <w:vAlign w:val="center"/>
          </w:tcPr>
          <w:p>
            <w:pPr>
              <w:pStyle w:val="TableContents"/>
              <w:bidi w:val="0"/>
              <w:spacing w:before="0" w:after="283"/>
              <w:jc w:val="left"/>
              <w:rPr/>
            </w:pPr>
            <w:hyperlink w:anchor="tm2330530d1_ex5-1.htm">
              <w:r>
                <w:rPr>
                  <w:rStyle w:val="InternetLink"/>
                </w:rPr>
                <w:t>Opinion of Maples and Calder (Hong Kong) LLP regarding the validity of the securities being registered</w:t>
              </w:r>
            </w:hyperlink>
          </w:p>
        </w:tc>
      </w:tr>
      <w:tr>
        <w:trPr/>
        <w:tc>
          <w:tcPr>
            <w:tcW w:w="13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4" w:type="dxa"/>
            <w:tcBorders/>
            <w:vAlign w:val="center"/>
          </w:tcPr>
          <w:p>
            <w:pPr>
              <w:pStyle w:val="TableContents"/>
              <w:bidi w:val="0"/>
              <w:spacing w:before="0" w:after="283"/>
              <w:jc w:val="left"/>
              <w:rPr/>
            </w:pPr>
            <w:r>
              <w:rPr/>
              <w:t> </w:t>
            </w:r>
          </w:p>
        </w:tc>
      </w:tr>
      <w:tr>
        <w:trPr/>
        <w:tc>
          <w:tcPr>
            <w:tcW w:w="1361" w:type="dxa"/>
            <w:tcBorders/>
            <w:vAlign w:val="center"/>
          </w:tcPr>
          <w:p>
            <w:pPr>
              <w:pStyle w:val="TableContents"/>
              <w:bidi w:val="0"/>
              <w:spacing w:before="0" w:after="283"/>
              <w:jc w:val="left"/>
              <w:rPr/>
            </w:pPr>
            <w:hyperlink w:anchor="tm2330530d1_ex10-1.htm">
              <w:r>
                <w:rPr>
                  <w:rStyle w:val="InternetLink"/>
                </w:rPr>
                <w:t>Exhibit 10.1 †</w:t>
              </w:r>
            </w:hyperlink>
          </w:p>
        </w:tc>
        <w:tc>
          <w:tcPr>
            <w:tcW w:w="60" w:type="dxa"/>
            <w:tcBorders/>
            <w:vAlign w:val="center"/>
          </w:tcPr>
          <w:p>
            <w:pPr>
              <w:pStyle w:val="TableContents"/>
              <w:bidi w:val="0"/>
              <w:spacing w:before="0" w:after="283"/>
              <w:jc w:val="left"/>
              <w:rPr/>
            </w:pPr>
            <w:r>
              <w:rPr/>
              <w:t> </w:t>
            </w:r>
          </w:p>
        </w:tc>
        <w:tc>
          <w:tcPr>
            <w:tcW w:w="8784" w:type="dxa"/>
            <w:tcBorders/>
            <w:vAlign w:val="center"/>
          </w:tcPr>
          <w:p>
            <w:pPr>
              <w:pStyle w:val="TableContents"/>
              <w:bidi w:val="0"/>
              <w:spacing w:before="0" w:after="283"/>
              <w:jc w:val="left"/>
              <w:rPr/>
            </w:pPr>
            <w:hyperlink w:anchor="tm2330530d1_ex10-1.htm">
              <w:r>
                <w:rPr>
                  <w:rStyle w:val="InternetLink"/>
                </w:rPr>
                <w:t>At Market Issuance Sales Agreement</w:t>
              </w:r>
            </w:hyperlink>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ind w:left="480" w:right="0" w:hanging="48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Portions of this exhibit have been omitted pursuant to Item 601(b)(10)(iv) of Regulation S-K under the Securities Act of 1933, as amended, because they both are not material and would likely cause competitive harm to the Registrant if publicly disclosed.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44" w:type="dxa"/>
        <w:jc w:val="left"/>
        <w:tblInd w:w="0" w:type="dxa"/>
        <w:tblLayout w:type="fixed"/>
        <w:tblCellMar>
          <w:top w:w="0" w:type="dxa"/>
          <w:left w:w="0" w:type="dxa"/>
          <w:bottom w:w="0" w:type="dxa"/>
          <w:right w:w="0" w:type="dxa"/>
        </w:tblCellMar>
      </w:tblPr>
      <w:tblGrid>
        <w:gridCol w:w="75"/>
        <w:gridCol w:w="720"/>
        <w:gridCol w:w="3649"/>
      </w:tblGrid>
      <w:tr>
        <w:trPr/>
        <w:tc>
          <w:tcPr>
            <w:tcW w:w="75" w:type="dxa"/>
            <w:tcBorders/>
            <w:vAlign w:val="center"/>
          </w:tcPr>
          <w:p>
            <w:pPr>
              <w:pStyle w:val="TableContents"/>
              <w:bidi w:val="0"/>
              <w:spacing w:before="0" w:after="283"/>
              <w:jc w:val="left"/>
              <w:rPr/>
            </w:pPr>
            <w:r>
              <w:rPr/>
              <w:t> </w:t>
            </w:r>
          </w:p>
        </w:tc>
        <w:tc>
          <w:tcPr>
            <w:tcW w:w="4369" w:type="dxa"/>
            <w:gridSpan w:val="2"/>
            <w:tcBorders/>
            <w:vAlign w:val="center"/>
          </w:tcPr>
          <w:p>
            <w:pPr>
              <w:pStyle w:val="TableContents"/>
              <w:bidi w:val="0"/>
              <w:spacing w:before="0" w:after="283"/>
              <w:jc w:val="left"/>
              <w:rPr/>
            </w:pPr>
            <w:r>
              <w:rPr/>
              <w:t>Canaan Inc.</w:t>
            </w:r>
          </w:p>
        </w:tc>
      </w:tr>
      <w:tr>
        <w:trPr/>
        <w:tc>
          <w:tcPr>
            <w:tcW w:w="75" w:type="dxa"/>
            <w:tcBorders/>
            <w:vAlign w:val="center"/>
          </w:tcPr>
          <w:p>
            <w:pPr>
              <w:pStyle w:val="TableContents"/>
              <w:bidi w:val="0"/>
              <w:spacing w:before="0" w:after="283"/>
              <w:jc w:val="left"/>
              <w:rPr/>
            </w:pPr>
            <w:r>
              <w:rPr/>
              <w:t> </w:t>
            </w:r>
          </w:p>
        </w:tc>
        <w:tc>
          <w:tcPr>
            <w:tcW w:w="4369" w:type="dxa"/>
            <w:gridSpan w:val="2"/>
            <w:tcBorders/>
            <w:vAlign w:val="center"/>
          </w:tcPr>
          <w:p>
            <w:pPr>
              <w:pStyle w:val="TableContents"/>
              <w:bidi w:val="0"/>
              <w:spacing w:before="0" w:after="283"/>
              <w:jc w:val="left"/>
              <w:rPr/>
            </w:pPr>
            <w:r>
              <w:rPr/>
              <w:t> </w:t>
            </w:r>
          </w:p>
        </w:tc>
      </w:tr>
      <w:tr>
        <w:trPr/>
        <w:tc>
          <w:tcPr>
            <w:tcW w:w="444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left"/>
              <w:rPr/>
            </w:pPr>
            <w:r>
              <w:rPr/>
              <w:t>By:</w:t>
            </w:r>
          </w:p>
        </w:tc>
        <w:tc>
          <w:tcPr>
            <w:tcW w:w="3649" w:type="dxa"/>
            <w:tcBorders>
              <w:bottom w:val="single" w:sz="8" w:space="0" w:color="000000"/>
            </w:tcBorders>
            <w:tcMar>
              <w:bottom w:w="28" w:type="dxa"/>
            </w:tcMar>
            <w:vAlign w:val="center"/>
          </w:tcPr>
          <w:p>
            <w:pPr>
              <w:pStyle w:val="TableContents"/>
              <w:bidi w:val="0"/>
              <w:spacing w:before="0" w:after="283"/>
              <w:jc w:val="left"/>
              <w:rPr/>
            </w:pPr>
            <w:r>
              <w:rPr/>
              <w:t>/s/ Nangeng Zhang</w:t>
            </w:r>
          </w:p>
        </w:tc>
      </w:tr>
      <w:tr>
        <w:trPr/>
        <w:tc>
          <w:tcPr>
            <w:tcW w:w="444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69" w:type="dxa"/>
            <w:gridSpan w:val="2"/>
            <w:tcBorders/>
            <w:vAlign w:val="center"/>
          </w:tcPr>
          <w:p>
            <w:pPr>
              <w:pStyle w:val="TableContents"/>
              <w:bidi w:val="0"/>
              <w:spacing w:before="0" w:after="283"/>
              <w:jc w:val="left"/>
              <w:rPr/>
            </w:pPr>
            <w:r>
              <w:rPr/>
              <w:t>Name: Nangeng Zhang</w:t>
              <w:br/>
              <w:t>Title:   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13,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 w:name="tm2330530d1_ex5-1.htm"/>
      <w:bookmarkStart w:id="3" w:name="kstm2330530d1_ex51"/>
      <w:bookmarkEnd w:id="2"/>
      <w:bookmarkEnd w:id="3"/>
      <w:r>
        <w:rPr/>
        <w:t> </w:t>
      </w:r>
      <w:r>
        <w:br w:type="page"/>
      </w:r>
    </w:p>
    <w:p>
      <w:pPr>
        <w:pStyle w:val="TextBody"/>
        <w:bidi w:val="0"/>
        <w:jc w:val="right"/>
        <w:rPr>
          <w:b/>
        </w:rPr>
      </w:pPr>
      <w:r>
        <w:rPr>
          <w:b/>
        </w:rPr>
        <w:t>Exhibit 5.1</w:t>
      </w:r>
    </w:p>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665"/>
        <w:gridCol w:w="2885"/>
      </w:tblGrid>
      <w:tr>
        <w:trPr/>
        <w:tc>
          <w:tcPr>
            <w:tcW w:w="6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ref</w:t>
            </w:r>
          </w:p>
        </w:tc>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VSL/742877-000004/27980429v3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Canaan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Ayer Rajah Crescent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#06-08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139959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November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Cayman Islands legal advisers to Canaan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Company’s registration statement on Form F-3, including all amendments or supplements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initially filed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on 23 April 2021 under the U.S. Securities Act of 1933, as amended, the base prospectus, dated May 1, 2023, included therein and the prospectus supplement dated 13 November 2023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relating to the sale of American depositary shares (the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representing the Company's class A ordinary shares of par value US$0.00000005 each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by the Company in accordance with the At the Market Issuance Sales Agreement dated 10 November 2023 (the “</w:t>
      </w:r>
      <w:r>
        <w:rPr>
          <w:rFonts w:ascii="Times New Roman;Times;Serif" w:hAnsi="Times New Roman;Times;Serif"/>
          <w:b/>
          <w:i w:val="false"/>
          <w:caps w:val="false"/>
          <w:smallCaps w:val="false"/>
          <w:sz w:val="20"/>
        </w:rPr>
        <w:t>ATM Offering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and consent as Exhibits 5.1 and 23.2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Documents Reviewed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opinion, we have reviewed only originals, copies or final drafts of the following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certificate of incorporation of the Company dated 6 February 2018 and the certificate of incorporation on change of name of the Company dated 24 April 2018 issued by the Registrar of Companies in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amended and restated memorandum and articles of association of the Company as adopted by a special resolution passed on 4 October 2019 and effective immediately prior to the completion of the Company’s initial public offering of the ADSs representing the Shares (the "</w:t>
      </w:r>
      <w:r>
        <w:rPr>
          <w:rFonts w:ascii="Times New Roman;Times;Serif" w:hAnsi="Times New Roman;Times;Serif"/>
          <w:b/>
          <w:i w:val="false"/>
          <w:caps w:val="false"/>
          <w:smallCaps w:val="false"/>
          <w:sz w:val="20"/>
        </w:rPr>
        <w:t>Memorandum and Articles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written resolutions of the board of directors of the Company dated 31 October 2023 (the "</w:t>
      </w:r>
      <w:r>
        <w:rPr>
          <w:rFonts w:ascii="Times New Roman;Times;Serif" w:hAnsi="Times New Roman;Times;Serif"/>
          <w:b/>
          <w:i w:val="false"/>
          <w:caps w:val="false"/>
          <w:smallCaps w:val="false"/>
          <w:sz w:val="20"/>
        </w:rPr>
        <w:t>Board Resolutions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A certificate from a director of the Company, a copy of which is attached hereto (the "</w:t>
      </w:r>
      <w:r>
        <w:rPr>
          <w:rFonts w:ascii="Times New Roman;Times;Serif" w:hAnsi="Times New Roman;Times;Serif"/>
          <w:b/>
          <w:i w:val="false"/>
          <w:caps w:val="false"/>
          <w:smallCaps w:val="false"/>
          <w:sz w:val="20"/>
        </w:rPr>
        <w:t>Director's Certificate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A certificate of good standing dated 7 November 2023, issued by the Registrar of Companies in the Cayman Islands (the "</w:t>
      </w:r>
      <w:r>
        <w:rPr>
          <w:rFonts w:ascii="Times New Roman;Times;Serif" w:hAnsi="Times New Roman;Times;Serif"/>
          <w:b/>
          <w:i w:val="false"/>
          <w:caps w:val="false"/>
          <w:smallCaps w:val="false"/>
          <w:sz w:val="20"/>
        </w:rPr>
        <w:t>Certificate of Good Standing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The ATM Offering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as of the date of this opinion letter, of the Director's Certificate and the Certificate of Good Standing. We have also relied upon the following assumptions, which we have not independently verified: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Copies of documents, conformed copies or drafts of documents provided to us are true and complete copies of, or in the final forms of, the originals.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All signatures, initials and seals are genuine.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There is nothing contained in the minute book or corporate records of the Company (which we have not inspected) which would or might affect the opinions set out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There is nothing under any law (other than the law of the Cayman Islands), which would or might affect the opinions set out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set out below and having regard to such legal considerations as we deem relevant,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The Company has been duly incorporated as an exempted company with limited liability and is validly existing and in good standing with the Registrar of Companies under the laws of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The authorised share capital of the Company is US$50,000 divided into 1,000,000,000,000 shares of par value US$0.00000005 comprising of (i) 999,643,375,556 Class A Ordinary Shares of a par value of US$0.00000005 each, and (ii) 356,624,444 Class B Ordinary Shares of a par value of US$0.00000005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The issue and allotment of the Shares have been duly authorised and when allotted, issued and paid for as contemplated in the Registration Statement, the Prospectus Supplement and the ATM Offering Agreement, the Shares will be legally issued and allotted, fully paid and non-assessable. As a matter of Cayman law, a share is only issued when it has been entered in the register of members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The statements under the caption "Taxation" in the Prospectus Supplement forming part of the Registration Statement, to the extent that they constitute statements of Cayman Islands law, are accurate in all material respects and that such statements constitute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In this opinion the phrase "non-assessable" means, with respect to shares in the Company, that a shareholder shall not, solely by virtue of its status as a shareholder and in absence of a contractual arrangement, or an obligation pursuant to the memorandum and articles of association, to the contrary,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which are the subject of this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name under the headings "Enforceability of Civil Liabilities" and "Legal Matters" and elsewhere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Maples and Calder (Hong Kong)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12, 2023</w:t>
      </w:r>
    </w:p>
    <w:p>
      <w:pPr>
        <w:pStyle w:val="TextBody"/>
        <w:bidi w:val="0"/>
        <w:spacing w:before="0" w:after="0"/>
        <w:ind w:left="0" w:right="0" w:hanging="0"/>
        <w:jc w:val="left"/>
        <w:rPr>
          <w:caps w:val="false"/>
          <w:smallCaps w:val="false"/>
        </w:rPr>
      </w:pPr>
      <w:r>
        <w:rPr>
          <w:caps w:val="false"/>
          <w:smallCaps w:val="false"/>
        </w:rPr>
        <w:t> </w:t>
      </w:r>
    </w:p>
    <w:tbl>
      <w:tblPr>
        <w:tblW w:w="3408" w:type="dxa"/>
        <w:jc w:val="left"/>
        <w:tblInd w:w="0" w:type="dxa"/>
        <w:tblLayout w:type="fixed"/>
        <w:tblCellMar>
          <w:top w:w="0" w:type="dxa"/>
          <w:left w:w="0" w:type="dxa"/>
          <w:bottom w:w="0" w:type="dxa"/>
          <w:right w:w="0" w:type="dxa"/>
        </w:tblCellMar>
      </w:tblPr>
      <w:tblGrid>
        <w:gridCol w:w="38"/>
        <w:gridCol w:w="305"/>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20"/>
              </w:rPr>
            </w:pPr>
            <w:r>
              <w:rPr>
                <w:sz w:val="20"/>
              </w:rPr>
              <w:t>To:</w:t>
            </w:r>
          </w:p>
        </w:tc>
        <w:tc>
          <w:tcPr>
            <w:tcW w:w="3065" w:type="dxa"/>
            <w:tcBorders/>
            <w:vAlign w:val="center"/>
          </w:tcPr>
          <w:p>
            <w:pPr>
              <w:pStyle w:val="TableContents"/>
              <w:bidi w:val="0"/>
              <w:spacing w:before="0" w:after="283"/>
              <w:jc w:val="both"/>
              <w:rPr>
                <w:sz w:val="20"/>
              </w:rPr>
            </w:pPr>
            <w:r>
              <w:rPr>
                <w:sz w:val="20"/>
              </w:rPr>
              <w:t>Maples and Calder (Hong Kong) LLP</w:t>
            </w:r>
          </w:p>
        </w:tc>
      </w:tr>
    </w:tbl>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26th Floor, Central Plaza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Harbour Road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Wanchai, 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undersigned, being a director of the Company, am aware that you are being asked to provide a legal opinion (the "</w:t>
      </w:r>
      <w:r>
        <w:rPr>
          <w:rFonts w:ascii="Times New Roman;Times;Serif" w:hAnsi="Times New Roman;Times;Serif"/>
          <w:b/>
          <w:i w:val="false"/>
          <w:caps w:val="false"/>
          <w:smallCaps w:val="false"/>
          <w:sz w:val="20"/>
        </w:rPr>
        <w:t>Opinion</w:t>
      </w:r>
      <w:r>
        <w:rPr>
          <w:rFonts w:ascii="Times New Roman;Times;Serif" w:hAnsi="Times New Roman;Times;Serif"/>
          <w:b w:val="false"/>
          <w:i w:val="false"/>
          <w:caps w:val="false"/>
          <w:smallCaps w:val="false"/>
          <w:sz w:val="20"/>
        </w:rPr>
        <w:t>") in relation to certain aspects of Cayman Islands law. Capitalised terms used in this certificate have the meaning given to them in the Opinion. I hereby certify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1</w:t>
            </w:r>
          </w:p>
        </w:tc>
        <w:tc>
          <w:tcPr>
            <w:tcW w:w="10028" w:type="dxa"/>
            <w:tcBorders/>
            <w:vAlign w:val="center"/>
          </w:tcPr>
          <w:p>
            <w:pPr>
              <w:pStyle w:val="TableContents"/>
              <w:bidi w:val="0"/>
              <w:spacing w:before="0" w:after="283"/>
              <w:jc w:val="both"/>
              <w:rPr/>
            </w:pPr>
            <w:r>
              <w:rPr/>
              <w:t>The amended and restated memorandum and articles of association adopted by a special resolution on 4 October 2019 and effective immediately prior to the completion of the Company's initial public offering of American depositary shares (the "</w:t>
            </w:r>
            <w:r>
              <w:rPr>
                <w:b/>
              </w:rPr>
              <w:t>Memorandum and Articles</w:t>
            </w:r>
            <w:r>
              <w:rPr/>
              <w:t>") remain in full and effect and are unamended.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2</w:t>
            </w:r>
          </w:p>
        </w:tc>
        <w:tc>
          <w:tcPr>
            <w:tcW w:w="10028" w:type="dxa"/>
            <w:tcBorders/>
            <w:vAlign w:val="center"/>
          </w:tcPr>
          <w:p>
            <w:pPr>
              <w:pStyle w:val="TableContents"/>
              <w:bidi w:val="0"/>
              <w:spacing w:before="0" w:after="283"/>
              <w:jc w:val="both"/>
              <w:rPr/>
            </w:pPr>
            <w:r>
              <w:rPr/>
              <w:t>The Board Resolutions were duly passed in the manner prescribed in the Memorandum and Articles (including, without limitation, with respect to the disclosure of interests (if any) by directors of the Company) and have not been amended, varied or revoked in any respect.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3</w:t>
            </w:r>
          </w:p>
        </w:tc>
        <w:tc>
          <w:tcPr>
            <w:tcW w:w="10028" w:type="dxa"/>
            <w:tcBorders/>
            <w:vAlign w:val="center"/>
          </w:tcPr>
          <w:p>
            <w:pPr>
              <w:pStyle w:val="TableContents"/>
              <w:bidi w:val="0"/>
              <w:spacing w:before="0" w:after="283"/>
              <w:jc w:val="both"/>
              <w:rPr/>
            </w:pPr>
            <w:r>
              <w:rPr/>
              <w:t>The authorised share capital of the Company is US$50,000 divided into 1,000,000,000,000 shares of a par value of US$0.00000005 each comprising of (i) 999,643,375,556 Class A Ordinary Shares of a par value of US$0.00000005 each, and (ii) 356,624,444 Class B Ordinary Shares of a par value of US$0.00000005 each.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4</w:t>
            </w:r>
          </w:p>
        </w:tc>
        <w:tc>
          <w:tcPr>
            <w:tcW w:w="10028" w:type="dxa"/>
            <w:tcBorders/>
            <w:vAlign w:val="center"/>
          </w:tcPr>
          <w:p>
            <w:pPr>
              <w:pStyle w:val="TableContents"/>
              <w:bidi w:val="0"/>
              <w:spacing w:before="0" w:after="283"/>
              <w:jc w:val="both"/>
              <w:rPr/>
            </w:pPr>
            <w:r>
              <w:rPr/>
              <w:t>The shareholders of the Company have not restricted or limited the powers of the directors in any way and there is no contractual or other prohibition (other than as arising under Cayman Islands law) binding on the Company prohibiting it from issuing and allotting the Shares or otherwise performing its obligations under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60"/>
        <w:gridCol w:w="10002"/>
      </w:tblGrid>
      <w:tr>
        <w:trPr/>
        <w:tc>
          <w:tcPr>
            <w:tcW w:w="4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b/>
              </w:rPr>
            </w:pPr>
            <w:r>
              <w:rPr>
                <w:b/>
              </w:rPr>
              <w:t>5</w:t>
            </w:r>
          </w:p>
        </w:tc>
        <w:tc>
          <w:tcPr>
            <w:tcW w:w="10002" w:type="dxa"/>
            <w:tcBorders/>
            <w:vAlign w:val="center"/>
          </w:tcPr>
          <w:p>
            <w:pPr>
              <w:pStyle w:val="TableContents"/>
              <w:bidi w:val="0"/>
              <w:spacing w:before="0" w:after="283"/>
              <w:jc w:val="both"/>
              <w:rPr/>
            </w:pPr>
            <w:r>
              <w:rPr/>
              <w:t>The directors of the Company at the date of the Meeting and at the date hereof were and 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Nangeng Zhang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Wenjun Zhang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Hongchao Du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Zhitang Shu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Yaping Zhang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6</w:t>
            </w:r>
          </w:p>
        </w:tc>
        <w:tc>
          <w:tcPr>
            <w:tcW w:w="10028" w:type="dxa"/>
            <w:tcBorders/>
            <w:vAlign w:val="center"/>
          </w:tcPr>
          <w:p>
            <w:pPr>
              <w:pStyle w:val="TableContents"/>
              <w:bidi w:val="0"/>
              <w:spacing w:before="0" w:after="283"/>
              <w:jc w:val="both"/>
              <w:rPr/>
            </w:pPr>
            <w:r>
              <w:rPr/>
              <w:t>Each director of the Company considers the transactions contemplated by the Registration Statement to be of commercial benefit to the Company and has acted bona fide in the best interests of the Company, and for a proper purpose of the Company in relation to the transactions the subject of the Opinion.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7</w:t>
            </w:r>
          </w:p>
        </w:tc>
        <w:tc>
          <w:tcPr>
            <w:tcW w:w="10028" w:type="dxa"/>
            <w:tcBorders/>
            <w:vAlign w:val="center"/>
          </w:tcPr>
          <w:p>
            <w:pPr>
              <w:pStyle w:val="TableContents"/>
              <w:bidi w:val="0"/>
              <w:spacing w:before="0" w:after="283"/>
              <w:jc w:val="both"/>
              <w:rPr/>
            </w:pPr>
            <w:r>
              <w:rPr/>
              <w:t>To the best of my knowledge and belief, having made due inquiry, the Company is not the subject of legal, arbitral, administrative or other proceedings in any jurisdiction that would have a material adverse effect on the business, properties, financial condition, results of operations or prospects of the Company. Neither the directors nor Shareholders have taken any steps to have the Company struck off or placed in liquidation. Further, no steps have been taken to wind up the Company or to appoint restructuring officers or interim restructuring officers, and no receiver bas appointed in relation to any of the Company's property or assets.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47"/>
        <w:gridCol w:w="10018"/>
      </w:tblGrid>
      <w:tr>
        <w:trPr/>
        <w:tc>
          <w:tcPr>
            <w:tcW w:w="4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b/>
              </w:rPr>
            </w:pPr>
            <w:r>
              <w:rPr>
                <w:b/>
              </w:rPr>
              <w:t>8</w:t>
            </w:r>
          </w:p>
        </w:tc>
        <w:tc>
          <w:tcPr>
            <w:tcW w:w="10018" w:type="dxa"/>
            <w:tcBorders/>
            <w:vAlign w:val="center"/>
          </w:tcPr>
          <w:p>
            <w:pPr>
              <w:pStyle w:val="TableContents"/>
              <w:bidi w:val="0"/>
              <w:spacing w:before="0" w:after="283"/>
              <w:jc w:val="both"/>
              <w:rPr/>
            </w:pPr>
            <w:r>
              <w:rPr/>
              <w:t>The Company is not subject to the requirements of Part XVIIA of the Companies Act (As Revised).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confirm that you may continue to rely on this Certificate as being true and correct on the day that you issue the Opinion unless I shall have previously notified you personally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14400" cy="866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8667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875"/>
        <w:gridCol w:w="3125"/>
        <w:gridCol w:w="75"/>
      </w:tblGrid>
      <w:tr>
        <w:trPr/>
        <w:tc>
          <w:tcPr>
            <w:tcW w:w="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3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Nangeng Zhang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Nangeng Zhang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6057900" cy="1333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057900" cy="13335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4" w:name="tm2330530d1_ex10-1.htm"/>
      <w:bookmarkStart w:id="5" w:name="kstm2330530d1_ex101"/>
      <w:bookmarkEnd w:id="4"/>
      <w:bookmarkEnd w:id="5"/>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TERMS IN THIS EXHIBIT HAVE BEEN OMITTED PURSUANT TO ITEM 601(B)(10)(IV) OF REGULATION S-K UNDER THE SECURITIES ACT OF 1933, AS AMENDED, BECAUSE THEY BOTH ARE NOT MATERIAL AND WOULD LIKELY CAUSE COMPETITIVE HARM TO THE REGISTRANT IF PUBLICLY DISCLOSED. THE TERMS HAVE BEEN MARKED AT THE APPROPRIATE PLACE WITH THREE ASTERISKS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Depositary Shares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representing fifteen Class A Ordinary Shares, par value $0.00000005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Market Issuance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485"/>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Riley Securities,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 Park Avenue,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Floor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Canaan Inc., an exempted company incorporated under the laws of the Cayman Islands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confirms its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with B. Riley Securities, Inc. (the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Issuance and Sale of ADSs</w:t>
      </w:r>
      <w:r>
        <w:rPr>
          <w:rFonts w:ascii="Times New Roman;Times;Serif" w:hAnsi="Times New Roman;Times;Serif"/>
          <w:b w:val="false"/>
          <w:i w:val="false"/>
          <w:caps w:val="false"/>
          <w:smallCaps w:val="false"/>
          <w:sz w:val="20"/>
        </w:rPr>
        <w:t>. The Company agrees that, from time to time during the term of this Agreement, on the terms and subject to the conditions set forth herein, it may sell through or to the Agent, as sales agent or principal, American Depositary Shares (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each representing fifteen Class A ordinary shares, par value $0.00000005 per share in the capital of the Company (“</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and such ADSs to be offered hereby, the “</w:t>
      </w:r>
      <w:r>
        <w:rPr>
          <w:rFonts w:ascii="Times New Roman;Times;Serif" w:hAnsi="Times New Roman;Times;Serif"/>
          <w:b w:val="false"/>
          <w:i w:val="false"/>
          <w:caps w:val="false"/>
          <w:smallCaps w:val="false"/>
          <w:sz w:val="20"/>
          <w:u w:val="single"/>
        </w:rPr>
        <w:t>Placement ADSs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in no event shall the Company sell through the Agent a number of Placement ADSs that (a) result in the sale of Ordinary Shares in excess of the dollar amount of Ordinary Shares registered and available to be sold on the effective Registration Statement (as defined below) pursuant to which the offering is being made or (b) exceeds the dollar amount of Ordinary Shares represented by ADSs registered on the Prospectus Supplement (as defined below) (the lesser of (a) or (b) the “</w:t>
      </w:r>
      <w:r>
        <w:rPr>
          <w:rFonts w:ascii="Times New Roman;Times;Serif" w:hAnsi="Times New Roman;Times;Serif"/>
          <w:b w:val="false"/>
          <w:i w:val="false"/>
          <w:caps w:val="false"/>
          <w:smallCaps w:val="false"/>
          <w:sz w:val="20"/>
          <w:u w:val="single"/>
        </w:rPr>
        <w:t>Maximum Amount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provided further, however,</w:t>
      </w:r>
      <w:r>
        <w:rPr>
          <w:rFonts w:ascii="Times New Roman;Times;Serif" w:hAnsi="Times New Roman;Times;Serif"/>
          <w:b w:val="false"/>
          <w:i w:val="false"/>
          <w:caps w:val="false"/>
          <w:smallCaps w:val="false"/>
          <w:sz w:val="20"/>
        </w:rPr>
        <w:t xml:space="preserve"> that in no event shall the aggregate number of Placement ADSs sold pursuant to this Agreement exceed the number of authorized but unissued Ordinary Shares. Notwithstanding anything to the contrary contained herein, the parties hereto agree that compliance with the limitations set forth in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on the number of Placement ADSs issued and sold under this Agreement shall be the sole responsibility of the Company and that the Agent shall have no obligation in connection with such compliance. The issuance and sale of Placement ADSs through the Agent will be effected pursuant to the Registration Statement (as defined below), although nothing in this Agreement shall be construed as requiring the Company to use the Registration Statement to sell any Ordinary Shares or ADSs. The Placement ADSs will be issued pursuant to the Deposit Agreement dated as of November 20, 2019, among the Company, The Bank of New York Mellon, as depositary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all owners and holders of the ADSs issued thereunder (the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in accordance with the provisions of the Securities Act of 1933, as amended and the rules and regulations thereunder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with the Securities and Exchange Commission (the “Commission”), a registration statement on Form F-3 (File No. 333-255470), including a base prospectus, relating certain securities including the Placement ADSs to be issued from time to time by the Company, and which incorporates by reference documents that the Company has filed or will file in accordance with the provisions of the Securities Exchange Act of 1934, as amended and the rules and regulations thereunder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The Company has prepared a prospectus supplement to the base prospectus included as part of such registration statement specifically relating to the Placement ADSs (the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The Company will furnish to the Agent, for use by the Agent, copies of the base prospectus included as part of such registration statement, as supplemented by the Prospectus Supplement, relating to the Placement ADSs. Except where the context otherwise requires, such registration statement, and any post-effective amendment thereto,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of the Securities Act, or any subsequent registration statement on Form F-3 filed pursuant to Rule 415 under the Securities Act by the Company to cover any Placement ADSs, is herein called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base prospectus, including all documents incorporated or deemed incorporated therein by reference to the extent such information has not been superseded or modified in accordance with Rule 412 under the Securities Act (as qualified by Rule 430B(g) of the Securities Act), included in the Registration Statement, as it may be supplemented by the Prospectus Supplement, in the form in which such base prospectus and/or Prospectus Supplement have most recently been filed by the Company with the Commission pursuant to Rule 424(b) under the Securities Act is herein called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incorporated by reference therein (the “</w:t>
      </w:r>
      <w:r>
        <w:rPr>
          <w:rFonts w:ascii="Times New Roman;Times;Serif" w:hAnsi="Times New Roman;Times;Serif"/>
          <w:b w:val="false"/>
          <w:i w:val="false"/>
          <w:caps w:val="false"/>
          <w:smallCaps w:val="false"/>
          <w:sz w:val="20"/>
          <w:u w:val="single"/>
        </w:rPr>
        <w:t>Incorporated 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Times;Serif" w:hAnsi="Times New Roman;Times;Serif"/>
          <w:b w:val="false"/>
          <w:i w:val="false"/>
          <w:caps w:val="false"/>
          <w:smallCaps w:val="false"/>
          <w:sz w:val="20"/>
          <w:u w:val="single"/>
        </w:rPr>
        <w:t>EDGAR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Placements</w:t>
      </w:r>
      <w:r>
        <w:rPr>
          <w:rFonts w:ascii="Times New Roman;Times;Serif" w:hAnsi="Times New Roman;Times;Serif"/>
          <w:b w:val="false"/>
          <w:i w:val="false"/>
          <w:caps w:val="false"/>
          <w:smallCaps w:val="false"/>
          <w:sz w:val="20"/>
        </w:rPr>
        <w:t>. Each time that the Company wishes to sell Placement ADSs hereunder (each, a “</w:t>
      </w:r>
      <w:r>
        <w:rPr>
          <w:rFonts w:ascii="Times New Roman;Times;Serif" w:hAnsi="Times New Roman;Times;Serif"/>
          <w:b w:val="false"/>
          <w:i w:val="false"/>
          <w:caps w:val="false"/>
          <w:smallCaps w:val="false"/>
          <w:sz w:val="20"/>
          <w:u w:val="single"/>
        </w:rPr>
        <w:t>Placement</w:t>
      </w:r>
      <w:r>
        <w:rPr>
          <w:rFonts w:ascii="Times New Roman;Times;Serif" w:hAnsi="Times New Roman;Times;Serif"/>
          <w:b w:val="false"/>
          <w:i w:val="false"/>
          <w:caps w:val="false"/>
          <w:smallCaps w:val="false"/>
          <w:sz w:val="20"/>
        </w:rPr>
        <w:t>”), it will notify the Agent by electronic mail (or other method mutually agreed to in writing by the parties) of the number of Placement ADSs, the time period during which sales are requested to be made, any limitation on the number of Placement ADSs that may be sold in any one day and any minimum price below which sales may not be made (a “</w:t>
      </w:r>
      <w:r>
        <w:rPr>
          <w:rFonts w:ascii="Times New Roman;Times;Serif" w:hAnsi="Times New Roman;Times;Serif"/>
          <w:b w:val="false"/>
          <w:i w:val="false"/>
          <w:caps w:val="false"/>
          <w:smallCaps w:val="false"/>
          <w:sz w:val="20"/>
          <w:u w:val="single"/>
        </w:rPr>
        <w:t>Placement Notice</w:t>
      </w:r>
      <w:r>
        <w:rPr>
          <w:rFonts w:ascii="Times New Roman;Times;Serif" w:hAnsi="Times New Roman;Times;Serif"/>
          <w:b w:val="false"/>
          <w:i w:val="false"/>
          <w:caps w:val="false"/>
          <w:smallCaps w:val="false"/>
          <w:sz w:val="20"/>
        </w:rPr>
        <w:t xml:space="preserve">”), the form of which is attached hereto as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The Placement Notice shall originate from any of the individuals from the Company set forth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(with a copy to each of the other individuals from the Company listed on such schedule), and shall be addressed to each of the individuals from the Agent set forth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as such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may be amended from time to time. The Placement Notice shall be effective immediately upon receipt by the Agent unless and until (i) the Agent declines to accept the terms contained therein for any reason, in its sole discretion, (ii) the entire amount of the Placement ADSs thereunder has been sold, (iii) the Company suspends or terminates the Placement Notice, which suspension and termination rights may be exercised by the Company in its sole discretion, or (iv) this Agreement has been terminated under the provisions of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The amount of any discount, commission or other compensation to be paid by the Company to the Agent in connection with the sale of the Placement ADSs shall be calculated in accordance with the terms set forth in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It is expressly acknowledged and agreed that neither the Company nor the Agent will have any obligation whatsoever with respect to a Placement or any Placement ADSs unless and until the Company delivers a Placement Notice to the Agent and the Agent does not decline such Placement Notice pursuant to the terms set forth above, and then only upon the terms specified therein and herein. In the event of a conflict between the terms of </w:t>
      </w:r>
      <w:r>
        <w:rPr>
          <w:rFonts w:ascii="Times New Roman;Times;Serif" w:hAnsi="Times New Roman;Times;Serif"/>
          <w:b w:val="false"/>
          <w:i w:val="false"/>
          <w:caps w:val="false"/>
          <w:smallCaps w:val="false"/>
          <w:sz w:val="20"/>
          <w:u w:val="single"/>
        </w:rPr>
        <w:t>Sections 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xml:space="preserve"> of this Agreement and the terms of a Placement Notice, the terms of the Placement Notice will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Sale of Placement ADSs by the Agent</w:t>
      </w:r>
      <w:r>
        <w:rPr>
          <w:rFonts w:ascii="Times New Roman;Times;Serif" w:hAnsi="Times New Roman;Times;Serif"/>
          <w:b w:val="false"/>
          <w:i w:val="false"/>
          <w:caps w:val="false"/>
          <w:smallCaps w:val="false"/>
          <w:sz w:val="20"/>
        </w:rPr>
        <w:t>. Subject to the terms and conditions of this Agreement, for the period specified in a Placement Notice, the Agent will use its commercially reasonable efforts consistent with its normal trading and sales practices and applicable state and federal laws, rules and regulations and the rules of The Nasdaq Global Market (the “</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xml:space="preserve">”), to sell the Placement ADSs up to the amount specified in, and otherwise in accordance with the terms of, such Placement Notice. The Agent will provide written confirmation to the Company no later than the opening of the Trading Day (as defined below) immediately following the Trading Day on which it has made sales of Placement ADSs hereunder setting forth the number of Placement ADSs sold on such day, the compensation payable by the Company to the Agent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with respect to such sales, and the Net Proceeds (as defined below) payable to the Company, with an itemization of the deductions made by the Agent (as set forth in </w:t>
      </w:r>
      <w:r>
        <w:rPr>
          <w:rFonts w:ascii="Times New Roman;Times;Serif" w:hAnsi="Times New Roman;Times;Serif"/>
          <w:b w:val="false"/>
          <w:i w:val="false"/>
          <w:caps w:val="false"/>
          <w:smallCaps w:val="false"/>
          <w:sz w:val="20"/>
          <w:u w:val="single"/>
        </w:rPr>
        <w:t>Section 5(b))</w:t>
      </w:r>
      <w:r>
        <w:rPr>
          <w:rFonts w:ascii="Times New Roman;Times;Serif" w:hAnsi="Times New Roman;Times;Serif"/>
          <w:b w:val="false"/>
          <w:i w:val="false"/>
          <w:caps w:val="false"/>
          <w:smallCaps w:val="false"/>
          <w:sz w:val="20"/>
        </w:rPr>
        <w:t xml:space="preserve"> from the gross proceeds that it receives from such sales. Subject to the terms of a Placement Notice, the Agent may sell Placement ADSs by any method permitted by law deemed to be an “at the market offering” as defined in Rule 415 of the Securities Act. “</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Ordinary Shares are purchased and sold on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Suspension of Sales</w:t>
      </w:r>
      <w:r>
        <w:rPr>
          <w:rFonts w:ascii="Times New Roman;Times;Serif" w:hAnsi="Times New Roman;Times;Serif"/>
          <w:b w:val="false"/>
          <w:i w:val="false"/>
          <w:caps w:val="false"/>
          <w:smallCaps w:val="false"/>
          <w:sz w:val="20"/>
        </w:rPr>
        <w:t xml:space="preserve">. The Company or the Agent may, upon notice to the other party in writing (including by email correspondence to each of the individuals of the other party set forth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Times;Serif" w:hAnsi="Times New Roman;Times;Serif"/>
          <w:b w:val="false"/>
          <w:i w:val="false"/>
          <w:caps w:val="false"/>
          <w:smallCaps w:val="false"/>
          <w:sz w:val="20"/>
          <w:u w:val="single"/>
        </w:rPr>
        <w:t xml:space="preserve">Schedule </w:t>
      </w:r>
      <w:r>
        <w:rPr>
          <w:rFonts w:ascii="Times New Roman;Times;Serif" w:hAnsi="Times New Roman;Times;Serif"/>
          <w:b w:val="false"/>
          <w:i w:val="false"/>
          <w:caps w:val="false"/>
          <w:smallCaps w:val="false"/>
          <w:sz w:val="20"/>
        </w:rPr>
        <w:t>3), suspend any sale of Placement ADSs (a “</w:t>
      </w:r>
      <w:r>
        <w:rPr>
          <w:rFonts w:ascii="Times New Roman;Times;Serif" w:hAnsi="Times New Roman;Times;Serif"/>
          <w:b w:val="false"/>
          <w:i w:val="false"/>
          <w:caps w:val="false"/>
          <w:smallCaps w:val="false"/>
          <w:sz w:val="20"/>
          <w:u w:val="single"/>
        </w:rPr>
        <w:t>Suspension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such suspension shall not affect or impair any party’s obligations with respect to any Placement ADSs sold hereunder prior to the receipt of such notice. While a Suspension is in effect, any obligation under </w:t>
      </w:r>
      <w:r>
        <w:rPr>
          <w:rFonts w:ascii="Times New Roman;Times;Serif" w:hAnsi="Times New Roman;Times;Serif"/>
          <w:b w:val="false"/>
          <w:i w:val="false"/>
          <w:caps w:val="false"/>
          <w:smallCaps w:val="false"/>
          <w:sz w:val="20"/>
          <w:u w:val="single"/>
        </w:rPr>
        <w:t>Sections 7(l)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7(n)</w:t>
      </w:r>
      <w:r>
        <w:rPr>
          <w:rFonts w:ascii="Times New Roman;Times;Serif" w:hAnsi="Times New Roman;Times;Serif"/>
          <w:b w:val="false"/>
          <w:i w:val="false"/>
          <w:caps w:val="false"/>
          <w:smallCaps w:val="false"/>
          <w:sz w:val="20"/>
        </w:rPr>
        <w:t xml:space="preserve"> with respect to the delivery of certificates, opinions, or comfort letters to the Agent, shall be waived. Each of the parties agrees that no such notice under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be effective against any other party unless it is made to one of the individuals named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hereto, as such Schedule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Sale and Delivery to the Agent; Settlement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Sale of Placement ADSs</w:t>
      </w:r>
      <w:r>
        <w:rPr>
          <w:rFonts w:ascii="Times New Roman;Times;Serif" w:hAnsi="Times New Roman;Times;Serif"/>
          <w:b w:val="false"/>
          <w:i w:val="false"/>
          <w:caps w:val="false"/>
          <w:smallCaps w:val="false"/>
          <w:sz w:val="20"/>
        </w:rPr>
        <w:t>. On the basis of the representations and warranties herein contained and subject to the terms and conditions herein set forth, upon the Agent’s acceptance of the terms of a Placement Notice, and unless the sale of the Placement ADSs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state and federal laws, rules and regulations and the rules of the Exchange to sell such Placement ADSs up to the amount specified in, and otherwise in accordance with the terms of, such Placement Notice. The Company acknowledges and agrees that (i) there can be no assurance that the Agent will be successful in selling Placement ADSs, (ii) the Agent will incur no liability or obligation to the Company or any other person or entity if it does not sell Placement ADSs for any reason other than a failure by the Agent to use its commercially reasonable efforts consistent with its normal trading and sales practices and applicable state and federal laws, rules and regulations and the rules of the Exchange to sell such Placement ADSs as required under this Agreement and (iii) the Agent shall be under no obligation to purchase Placement ADSs on a principal basis pursuant to this Agreement, except as otherwise agreed by the Agent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Settlement of Placement ADSs</w:t>
      </w:r>
      <w:r>
        <w:rPr>
          <w:rFonts w:ascii="Times New Roman;Times;Serif" w:hAnsi="Times New Roman;Times;Serif"/>
          <w:b w:val="false"/>
          <w:i w:val="false"/>
          <w:caps w:val="false"/>
          <w:smallCaps w:val="false"/>
          <w:sz w:val="20"/>
        </w:rPr>
        <w:t>. Unless otherwise specified in the applicable Placement Notice, settlement for sales of Placement ADSs will occur on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(or such earlier day as is industry practice for regular-way trading) following the date on which such sales are made (each, a “</w:t>
      </w:r>
      <w:r>
        <w:rPr>
          <w:rFonts w:ascii="Times New Roman;Times;Serif" w:hAnsi="Times New Roman;Times;Serif"/>
          <w:b w:val="false"/>
          <w:i w:val="false"/>
          <w:caps w:val="false"/>
          <w:smallCaps w:val="false"/>
          <w:sz w:val="20"/>
          <w:u w:val="single"/>
        </w:rPr>
        <w:t>Settlement Date</w:t>
      </w:r>
      <w:r>
        <w:rPr>
          <w:rFonts w:ascii="Times New Roman;Times;Serif" w:hAnsi="Times New Roman;Times;Serif"/>
          <w:b w:val="false"/>
          <w:i w:val="false"/>
          <w:caps w:val="false"/>
          <w:smallCaps w:val="false"/>
          <w:sz w:val="20"/>
        </w:rPr>
        <w:t>”). The Agent shall notify the Company of each sale of Placement ADSs no later than 8:00 p.m (Eastern Time)., the Trading Day that the Agent sold Placement ADSs. The amount of proceeds to be delivered to the Company on a Settlement Date against receipt of the Placement ADSs sold (the “</w:t>
      </w:r>
      <w:r>
        <w:rPr>
          <w:rFonts w:ascii="Times New Roman;Times;Serif" w:hAnsi="Times New Roman;Times;Serif"/>
          <w:b w:val="false"/>
          <w:i w:val="false"/>
          <w:caps w:val="false"/>
          <w:smallCaps w:val="false"/>
          <w:sz w:val="20"/>
          <w:u w:val="single"/>
        </w:rPr>
        <w:t>Net Proceeds</w:t>
      </w:r>
      <w:r>
        <w:rPr>
          <w:rFonts w:ascii="Times New Roman;Times;Serif" w:hAnsi="Times New Roman;Times;Serif"/>
          <w:b w:val="false"/>
          <w:i w:val="false"/>
          <w:caps w:val="false"/>
          <w:smallCaps w:val="false"/>
          <w:sz w:val="20"/>
        </w:rPr>
        <w:t>”) will be equal to the aggregate sales price received by the Agent, after deduction for (i) the Agent’s commission, discount or other compensation for such sales payable by the Company pursuant to Section 2 hereof, and (ii) any transaction fees imposed by any governmental or self-regulatory organization in respect of such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Delivery of Placement ADSs</w:t>
      </w:r>
      <w:r>
        <w:rPr>
          <w:rFonts w:ascii="Times New Roman;Times;Serif" w:hAnsi="Times New Roman;Times;Serif"/>
          <w:b w:val="false"/>
          <w:i w:val="false"/>
          <w:caps w:val="false"/>
          <w:smallCaps w:val="false"/>
          <w:sz w:val="20"/>
        </w:rPr>
        <w:t>. The Agent shall establish at its clearing broker a settlement account for and in the name of the Company, which account shall be entirely controlled and directed by the Company (the “</w:t>
      </w:r>
      <w:r>
        <w:rPr>
          <w:rFonts w:ascii="Times New Roman;Times;Serif" w:hAnsi="Times New Roman;Times;Serif"/>
          <w:b w:val="false"/>
          <w:i w:val="false"/>
          <w:caps w:val="false"/>
          <w:smallCaps w:val="false"/>
          <w:sz w:val="20"/>
          <w:u w:val="single"/>
        </w:rPr>
        <w:t>Company Account</w:t>
      </w:r>
      <w:r>
        <w:rPr>
          <w:rFonts w:ascii="Times New Roman;Times;Serif" w:hAnsi="Times New Roman;Times;Serif"/>
          <w:b w:val="false"/>
          <w:i w:val="false"/>
          <w:caps w:val="false"/>
          <w:smallCaps w:val="false"/>
          <w:sz w:val="20"/>
        </w:rPr>
        <w:t>”). On each Trading Day (“</w:t>
      </w:r>
      <w:r>
        <w:rPr>
          <w:rFonts w:ascii="Times New Roman;Times;Serif" w:hAnsi="Times New Roman;Times;Serif"/>
          <w:b w:val="false"/>
          <w:i w:val="false"/>
          <w:caps w:val="false"/>
          <w:smallCaps w:val="false"/>
          <w:sz w:val="20"/>
          <w:u w:val="single"/>
        </w:rPr>
        <w:t>T</w:t>
      </w:r>
      <w:r>
        <w:rPr>
          <w:rFonts w:ascii="Times New Roman;Times;Serif" w:hAnsi="Times New Roman;Times;Serif"/>
          <w:b w:val="false"/>
          <w:i w:val="false"/>
          <w:caps w:val="false"/>
          <w:smallCaps w:val="false"/>
          <w:sz w:val="20"/>
        </w:rPr>
        <w:t>”) that the Agent makes sales of Placement ADSs, the Agent shall advise the Company of the number of Placement ADSs sold, the prices at which such Placement ADSs were sold, and the net proceeds of such sales that the Company shall receive. On the immediately following Trading Day (“</w:t>
      </w:r>
      <w:r>
        <w:rPr>
          <w:rFonts w:ascii="Times New Roman;Times;Serif" w:hAnsi="Times New Roman;Times;Serif"/>
          <w:b w:val="false"/>
          <w:i w:val="false"/>
          <w:caps w:val="false"/>
          <w:smallCaps w:val="false"/>
          <w:sz w:val="20"/>
          <w:u w:val="single"/>
        </w:rPr>
        <w:t>T+1</w:t>
      </w:r>
      <w:r>
        <w:rPr>
          <w:rFonts w:ascii="Times New Roman;Times;Serif" w:hAnsi="Times New Roman;Times;Serif"/>
          <w:b w:val="false"/>
          <w:i w:val="false"/>
          <w:caps w:val="false"/>
          <w:smallCaps w:val="false"/>
          <w:sz w:val="20"/>
        </w:rPr>
        <w:t>”), the Agent shall advise the Company that the proceeds of sales of Placement ADSs on “T” have been received in the Company Account. Once the clearing broker has confirmed the receipt of the sales proceeds, the Company shall (i) issue the Ordinary Shares underlying the ADSs, (ii) instruct its transfer agent to deposit those Ordinary Shares with the Depositary’s custodian and instruct the Depositary to deliver ADSs in respect of that deposit to the Company Account through the Depository Trust Company or by such other means of delivery as may be mutually agreed upon by the parties hereto, which ADSs in all cases shall be freely tradable, transferable, registered ADSs in good deliverable form and (iii) pay the issuance fee in respect of those ADSs to the Depositary. On each Settlement Date, the clearing broker shall settle the sale of such ADSs on a “delivery-versus-payment” (“</w:t>
      </w:r>
      <w:r>
        <w:rPr>
          <w:rFonts w:ascii="Times New Roman;Times;Serif" w:hAnsi="Times New Roman;Times;Serif"/>
          <w:b w:val="false"/>
          <w:i w:val="false"/>
          <w:caps w:val="false"/>
          <w:smallCaps w:val="false"/>
          <w:sz w:val="20"/>
          <w:u w:val="single"/>
        </w:rPr>
        <w:t>DVP</w:t>
      </w:r>
      <w:r>
        <w:rPr>
          <w:rFonts w:ascii="Times New Roman;Times;Serif" w:hAnsi="Times New Roman;Times;Serif"/>
          <w:b w:val="false"/>
          <w:i w:val="false"/>
          <w:caps w:val="false"/>
          <w:smallCaps w:val="false"/>
          <w:sz w:val="20"/>
        </w:rPr>
        <w:t xml:space="preserve">”) basis in accordance with customary practice and rules of the securities industry. The Agent shall, or shall instruct its clearing broker to, deliver the related Net Proceeds in same day funds to an account designated by the Company on, or prior to, the Settlement Date. The Company agrees that if the Company, or the Depositary, if applicable, does not deliver ADSs on a Settlement Date through no fault of the Agent and provided that the Agent has not declined the applicable Placement Notice, the Company agrees that in addition to and in no way limiting the rights and obligations set forth in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hereto, it will hold the Agent harmless against any loss, claim, damage, or expense (including reasonable legal fees and expenses), as incurred, arising out of or in connection with such failure to deliver and pay to the Agent (without duplication) any commission, discount or other compensation to which it would otherwise have been entitled absent such failure to deliver.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Limitations on Offering Size</w:t>
      </w:r>
      <w:r>
        <w:rPr>
          <w:rFonts w:ascii="Times New Roman;Times;Serif" w:hAnsi="Times New Roman;Times;Serif"/>
          <w:b w:val="false"/>
          <w:i w:val="false"/>
          <w:caps w:val="false"/>
          <w:smallCaps w:val="false"/>
          <w:sz w:val="20"/>
        </w:rPr>
        <w:t>. Under no circumstances shall the Company cause or request the offer or sale of any Placement ADSs that would (A) result in exceeding the Maximum Amount with respect to ADSs or Ordinary Shares, or (B) exceed the amount authorized from time to time to be issued and sold under this Agreement by the Company’s board of directors, a duly authorized committee thereof or a duly authorized executive committee, and notified to the Agent in writing. Under no circumstances shall the Company cause or request the offer or sale of any Placement ADSs pursuant to this Agreement at a price lower than the minimum price authorized from time to time by the Company’s board of directors, a duly authorized committee thereof or a duly authorized executive committee, and notified to the Agent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disclosed in the Registration Statement or Prospectus (including the Incorporated Documents), the Company represents and warrants to, and agrees with the Agent that as of the date of this Agreement and as of each Applicable Time (as defined below), unless such representation, warranty or agreement specifies a different date or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Registration Statement and Prospectus</w:t>
      </w:r>
      <w:r>
        <w:rPr>
          <w:rFonts w:ascii="Times New Roman;Times;Serif" w:hAnsi="Times New Roman;Times;Serif"/>
          <w:b w:val="false"/>
          <w:i w:val="false"/>
          <w:caps w:val="false"/>
          <w:smallCaps w:val="false"/>
          <w:sz w:val="20"/>
        </w:rPr>
        <w:t>. The transactions contemplated by this Agreement meet the requirements for and comply with the conditions for the use of Form F-3 under the Securities Act. The Registration Statement has been filed with the Commission and has been declared effective under the Securities Act. The Prospectus Supplement will name the Agent as the agent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ADSs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as applicable. Copies of the Registration Statement, the Prospectus, and any such amendments or supplements and all documents incorporated by reference therein that were filed with the Commission on or prior to the date of this Agreement have been delivered, or are available through EDGAR, to the Agent and its counsel. The Company has not distributed and, prior to the later to occur of each Settlement Date and completion of the distribution of the Placement ADSs, will not distribute any offering material in connection with the offering or sale of the Placement ADSs other than the Registration Statement and the Prospectus and any Issuer Free Writing Prospectus (as defined below) to which the Agent has consented, which consent will not be unreasonably withheld or delayed, or that is required by applicable law or the listing maintenance requirements of the Exchange. The ADSs are currently quoted on the Exchange under the trading symbol “CAN.” The Company has not, in the 12 months preceding the date hereof, received notice from the Exchange to the effect that the Company is not in compliance with the listing or maintenance requirements of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All of the direct and indirect significant subsidiaries (individually, a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of the Company are set forth on Exhibit 21.1 to the Company’s most recent Annual Report on Form 20-F filed with the Commission. Except as set forth in the SEC Reports, the Company owns, directly or indirectly, all of the share capital or other equity interests of each Subsidiary free and clear of any “Liens” (which for purposes of this Agreement shall mean a lien, charge, security interest, encumbrance, right of first refusal, preemptive right or other restriction), and all of the issued and outstanding shares of capital of each Subsidiary are validly issued and are fully paid, non-assessable and free of preemptive and similar rights to subscribe for or purchase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the Subsidiaries is an entity duly incorporated or otherwise organized, validly existing and, if applicable under the laws of the applicable jurisdiction,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of incorporation or memorandum and articles of association,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this Agreement, (ii) a material adverse effect on the results of operations, assets, business, prospects or condition (financial or otherwise) of the Company and the Subsidiaries, taken as a whole, from that set forth in the Registration Statement, the Prospectus, any Prospectus Supplement, or the Incorporated Documents, or (iii) a material adverse effect on the Company’s ability to perform in any material respect on a timely basis its obligations under this Agreement (any of (i), (ii) or (iii),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and no “</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(which for purposes of this Agreement shall mean any action, claim, suit, investigation or proceeding (including, without limitation, an investigation or partial proceeding, such as a deposition), whether commenced or threatened) has been instituted in any such jurisdiction revoking, limiting or curtailing or seeking to revoke, limit or curtail such power and authority or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Authorization and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otherwise to carry out its obligations hereunder. This Agreement has been duly executed and delivered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the issuance of the Ordinary Shares and sale of the ADSs representing such Ordinary Shares and the consummation by it of the transactions contemplated hereby do not and will not (i) conflict with or violate any provision of the Company’s or any Subsidiary’s memorandum and articles of association,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The Company is not required to obtain any consent, waiver, authorization or order of, give any notice to, or make any filing or registration with, any court or other federal, state, local or other governmental authority or other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(defined as an individual or corporation, partnership, trust, incorporated or unincorporated association, joint venture, limited liability company, joint stock company, government (or an agency or subdivision thereof) or other entity of any kind, including the Exchange) in connection with the execution, delivery and performance by the Company of this Agreement, other than (i) the filings required by this Agreement, (ii) the filing with the Commission of the Prospectus Supplement, (iii) the filing of a Report on Form 6-K with respect to this Agreement, (iv) the application(s) to and approval by the Exchange for the listing of the ADSs for trading thereon in the time and manner required thereby, and (v) such filings as are required to be made under applicable state securities laws and the rules and regulations of the Financial Industry Regulatory Authority, Inc.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or the laws of the Cayman Islands (collectively, the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Issuance of Ordinary Shares</w:t>
      </w:r>
      <w:r>
        <w:rPr>
          <w:rFonts w:ascii="Times New Roman;Times;Serif" w:hAnsi="Times New Roman;Times;Serif"/>
          <w:b w:val="false"/>
          <w:i w:val="false"/>
          <w:caps w:val="false"/>
          <w:smallCaps w:val="false"/>
          <w:sz w:val="20"/>
        </w:rPr>
        <w:t>. The Ordinary Shares represented by the ADSs have been duly authorized and, when issued and paid for in accordance with this Agreement, will be duly and validly issued, fully paid and non-assessable, free and clear of all Liens imposed by the Company. The offer and sale by the Company of the Ordinary Shares and the offer and sale of the ADSs has been registered under the Securities Act and all of the ADSs are freely transferable and tradable by the purchasers thereof without restriction (other than any restrictions arising solely from an act or omission of such a purchaser). The Ordinary Shares are being offered and sold pursuant to the Registration Statement, and the Company and the Depositary have prepared and filed with the Commission a registration statement relating to the ADSs on Form F-6 (File No. 333-234510) for the registration under the Securities Act which became effective on November 20, 2019. Upon receipt of the ADSs, the purchasers of such ADSs will have good and marketable title to such ADSs and the ADSs will be freely tradable on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number of Ordinary Shares the Company is authorized to issue as of the date hereof is as set forth in the SEC Reports. The Company has not issued any Ordinary Shares since its most recently filed Form 6-K under the Exchange Act, other than pursuant to the exercise of share options or the vesting of restricted ADS units under the Company’s equity plans, the issuance of Ordinary Shares to employees, directors or other service providers pursuant to the Company’s equity plans and pursuant to the conversion and/or exercise of Ordinary Share Equivalents outstanding as of the date of the most recently filed Form 6-K under the Exchange Act. No Person has any right of first refusal, preemptive right, right of participation, or any similar right to participate in the transactions contemplated by this Agreement. Except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Ordinary Shares, or the share capital of any Subsidiary, or contracts, commitments, understandings or arrangements by which the Company or any Subsidiary is or may become bound to issue additional Ordinary Shares or Ordinary Share Equivalents or share capital of any Subsidiary. The issuance and sale of the Ordinary Shares pursuant to this Agreement will not obligate the Company or any Subsidiary to issue Ordinary Shares or other securities to any Person. Except as set forth in the SEC Reports,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the SEC Reports,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share appreciation rights or “phantom stock” plans or agreements or any similar plan or agreement. All of the outstanding Ordinary Shares of the Company are duly authorized, are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shareholder, the Board of Directors or others is required for the sale of the ADSs pursuant to this Agreement. Except as set forth in the SEC Reports, there are no shareholders agreements, voting agreements or other similar agreements with respect to the Company’s Ordinary Shares to which the Company is a party or, to the knowledge of the Company, between or among any of the Company’s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Company meets the requirements for use of Form F-3 under the Securities Act, and has prepared and filed with the Commission the Registration Statement, including the Prospectus, for registration under the Securities Act of the offering and sale of the Ordinary Shares. Such Registration Statement is effective and available for the offer and sale of the Ordinary Shares as of the date hereof. As filed, the Prospectus contains all information required by the Securities Act and the rules thereunder, and, except to the extent the Agent shall agree in writing to a modification, shall be in all substantive respects in the form furnished to the Agent prior to the Execution Time or prior to any such time this representation is repeated or deemed to be made. The Registration Statement, at the Execution Time, each such time this representation is repeated or deemed to be made, and at all times during which a prospectus is required by the Securities Act to be delivered (whether physically or through compliance with Rule 172, 173 or any similar rule) in connection with any offer or sale of the ADSs, meets the requirements set forth in Rule 415(a)(1)(x). The initial Effective Date of the Registration Statement was not earlier than the date three years before the Execution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Accuracy of Incorporated Documents</w:t>
      </w:r>
      <w:r>
        <w:rPr>
          <w:rFonts w:ascii="Times New Roman;Times;Serif" w:hAnsi="Times New Roman;Times;Serif"/>
          <w:b w:val="false"/>
          <w:i w:val="false"/>
          <w:caps w:val="false"/>
          <w:smallCaps w:val="false"/>
          <w:sz w:val="20"/>
        </w:rPr>
        <w:t>. The Incorporated Documents, when they were filed with the Commission, conformed in all material respects to the requirements of the Exchange Act and the rules thereunder, and none of the Incorporated Documents, when they were filed with the Commission, contained any untrue statement of a material fact or omitted to state a material fact necessary to make the statements therein, in light of the circumstances under which they were made not misleading; and any further documents so filed and incorporated by reference in the Registration Statement, the Prospectus, the Prospectus Supplement, when such documents are filed with the Commission, will conform in all material respects to the requirements of the Exchange Act and the rules thereunder, as applicable, and will not contain any untrue statement of a material fact or omit to state a material fact necessary to make the statements therein, in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Ineligible Issuer</w:t>
      </w:r>
      <w:r>
        <w:rPr>
          <w:rFonts w:ascii="Times New Roman;Times;Serif" w:hAnsi="Times New Roman;Times;Serif"/>
          <w:b w:val="false"/>
          <w:i w:val="false"/>
          <w:caps w:val="false"/>
          <w:smallCaps w:val="false"/>
          <w:sz w:val="20"/>
        </w:rPr>
        <w:t>. (i) At the earliest time after the filing of the Registration Statement that the Company or another offering participant made a bona fide offer (within the meaning of Rule 164(h)(2)) of the ADSs and (ii) as of the Execution Time and on each such time this representation is repeated or deemed to be made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Free Writing Prospectus</w:t>
      </w:r>
      <w:r>
        <w:rPr>
          <w:rFonts w:ascii="Times New Roman;Times;Serif" w:hAnsi="Times New Roman;Times;Serif"/>
          <w:b w:val="false"/>
          <w:i w:val="false"/>
          <w:caps w:val="false"/>
          <w:smallCaps w:val="false"/>
          <w:sz w:val="20"/>
        </w:rPr>
        <w:t xml:space="preserve">. The Company is eligible to use Issuer Free Writing Prospectuses. Each Issuer Free Writing Prospectus, as of its issue date and as of each Applicable Time (as defined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below) does not include any information the substance of which conflicts with the information contained in the Registration Statement, including any Incorporated Documents and any prospectus supplement deemed to be a part thereof that has not been superseded or modified; and each Issuer Free Writing Prospectus does not contain any untrue statement of a material fact or omit to state any material fact necessary in order to make the statements therein, in the light of the circumstances under which they were made, not misleading. The foregoing sentence does not apply to statements in or omissions from any Issuer Free Writing Prospectus based upon and in conformity with written information furnished to the Company by the Agent specifically for use therein. Any Issuer Free Writing Prospectus that the Company is required to file pursuant to Rule 433(d) has been, or will be, filed with the Commission in accordance with the requirements of the Securities Act and the rules thereunder. Each Issuer Free Writing Prospectus that the Company has filed, or is required to file, pursuant to Rule 433(d) or that was prepared by or behalf of or used by the Company complies or will comply in all material respects with the requirements of the Securities Act and the rules thereunder. The Company will not, without the prior consent of the Agent, prepare, use or refer to, any Issuer Free Writing Prospectuses relating to the offering of ADSs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Proceedings Related to Registration Statement</w:t>
      </w:r>
      <w:r>
        <w:rPr>
          <w:rFonts w:ascii="Times New Roman;Times;Serif" w:hAnsi="Times New Roman;Times;Serif"/>
          <w:b w:val="false"/>
          <w:i w:val="false"/>
          <w:caps w:val="false"/>
          <w:smallCaps w:val="false"/>
          <w:sz w:val="20"/>
        </w:rPr>
        <w:t>. The Registration Statement is not the subject of a pending proceeding or examination under Section 8(d) or 8(e) of the Securities Act, and the Company is not the subject of a pending proceeding under Section 8A of the Securities Act in connection with the offering of the ADSs. The Company has not received any notice that the Commission has issued or intends to issue a stop-order with respect to the Registration Statement or that the Commission otherwise has suspended or withdrawn the effectiveness of the Registration Statement, either temporarily or permanently, or, to the knowledge of the Company, intends or has threatened in writing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The other financial and statistical data with respect to the Company and the Subsidiaries contained or incorporated by reference in the Registration Statement and the Prospectus, are accurately and fairly presented and prepared on a basis consistent with the financial statements and books and records of the Company at the time they are made; there are no financial statements (historical or pro forma) that are required to be included or incorporated by reference in the Registration Statement, or the Prospectus that are not included or incorporated by reference as required; the Company and the Subsidiaries do not have any material liabilities or obligations, direct or contingent (including any off balance sheet obligations), not described in the Registration Statement, and the Prospectus which are required to be described in the Registration Statement or Prospectus; and all disclosures contained or incorporated by reference in the Registration Statement and the Prospectus, if any, regarding “non-GAAP financial measures” (as such term is defined by the rules and regulations of the Commission) comply in all material respects with Regulation G of the Exchange Act and Item 10 of Regulation S-K under the Securities Act, to the extent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Since the date of the latest audited financial statements or other financial disclosures included within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required to be disclosed in filings made with the Commission, (iii) the Company has not altered its method of accounting, (iv) the Company has not declared or made any dividend or distribution of cash or other property to its shareholders or, except as set forth in the SEC Reports, purchased, redeemed or made any agreements to purchase or redeem any shares of its capital stock, and (v) the Company has not issued any equity securities to any officer, director or “Affiliate” (defined as any Person that, directly or indirectly through one or more intermediaries, controls or is controlled by or is under common control with a Person, as such terms are used in and construed under Rule 144 under the Securities Act), except pursuant to existing Company equity plans. The Company does not have pending before the Commission any request for confidential treatment of information. Except for the issuance of the ADSs contemplated by this Agreement or as set forth in the SEC Reports,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which (i) adversely affects or challenges the legality, validity or enforceability of this Agreement or the ADSs or (ii) could, if there were an unfavorable decision, have or reasonably be expected to result in a Material Adverse Effect. Except as set forth in the SEC Reports, neither the Company nor any Subsidiary, nor, to the knowledge of the Company, any director or officer thereof, is or has been the subject of any Action involving a claim of violation of or liability under federal or state securities laws or a claim of breach of fiduciary duty, which could reasonably be expected to result in a Material Adverse Effect.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No material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applicable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Neither the Company nor any Subsidiary: (i) is in violation of its charter or by-laws or similar organizational documents; (ii) is in default under or in violation of (and no event has occurred that has not been waived that, with notice or lapse of time or both, would result in a default by the Company or any Subsidiary under), nor has the Company or any Subsidiary received written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(iii) is in violation of any judgment, decree or order of any court, arbitrator or other governmental authority relating to the Company or any Subsidiary or (iv)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 To the Company’s knowledge, no other party under any material contract or other agreement to which it or any Subsidiary is a party is in default in any respect thereunder where such default would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licenses, certificates, authorizations, orders, approvals and permits issued by, and have made all declarations and filings with,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and neither the Company nor any Subsidiary has received any notice of proceedings relating to the revocation or modification of any Material Permit or has any reason to believe that such Permit will not be renewed in the ordinary course, except where the failure to obtain any such renewal would not,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do not own any real property and have good and marketable title, or have valid and marketable rights to lease or otherwise use, all real property and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foreign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except where such non-compliance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the Subsidiaries have or have rights to use, all patents, patent applications, trademarks (both registered and unregistered), trademark applications, service marks, Internet domain name registrations, trade names, trade secrets, inventions, copyrights, copyright registrations, licenses, know-how and other intellectual property rights (including trade secrets and other unpatented and/or unpatentable proprietary or confidential information, systems or procedures)and similar rights necessary or required for use in connection with their respective businesses as described in the SEC Reports and which the failure to so have could have a Material Adverse Effect (collectively, the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None of, and neither the Company nor any Subsidiary has received a written notice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except as would not, individually or in aggregate, reasonably be expected to have a Material Adverse Effect. There are no pending, or to the Company’s knowledge, threatened judicial proceedings or interference proceedings challenging the Company’s or any Subsidiary’s rights in or to or the validity of the scope of any of the Company’s or its Subsidiaries’ patents, patent applications or proprietary information. To the Company’s knowledge, no other entity or individual has any right or claim in any of the Company’s or any of its Subsidiary’s patents, patent applications or any patent to be issued therefrom by virtue of any contract, license or other agreement entered into between such entity or individual and the Company or any Subsidiary or by any non-contractual obligation, other than by written licenses granted by the Company or any Subsidiary.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are insured by insurers of recognized financial responsibility against such losses and risks and in such amounts as are prudent and customary for companies of similar size as the Company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 that would not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Affiliate Transactions</w:t>
      </w:r>
      <w:r>
        <w:rPr>
          <w:rFonts w:ascii="Times New Roman;Times;Serif" w:hAnsi="Times New Roman;Times;Serif"/>
          <w:b w:val="false"/>
          <w:i w:val="false"/>
          <w:caps w:val="false"/>
          <w:smallCaps w:val="false"/>
          <w:sz w:val="20"/>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shareholder, member or partner, in each case in excess of $120,000 other than for (i) payment of salary or consulting fees for services rendered, (ii) reimbursement for expenses incurred on behalf of the Company and (iii) other employee benefits, including share option agreements under any share option plan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Sarbanes Oxley Compliance</w:t>
      </w:r>
      <w:r>
        <w:rPr>
          <w:rFonts w:ascii="Times New Roman;Times;Serif" w:hAnsi="Times New Roman;Times;Serif"/>
          <w:b w:val="false"/>
          <w:i w:val="false"/>
          <w:caps w:val="false"/>
          <w:smallCaps w:val="false"/>
          <w:sz w:val="20"/>
        </w:rPr>
        <w:t>. The Company and the Subsidiaries and, to the knowledge of the Company, all of the Company’s directors or officers, in their capacities as such are in compliance with any and all applicable requirements of the Sarbanes-Oxley Act of 2002 (the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that are effective as of the date hereof, and any and all applicable rules and regulations promulgated by the Commission thereunder that are effective as of the date hereof.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Form 20-F under the Exchange Act (such date, the “</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most recently filed Form 20-F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during the past 12 months. For purposes of the preceding sentence, “principal executive officer” and “principal financial officer” shall have the meanings given to such terms in the Exchange Act Rules 13a-15 and 15d-15.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Other than payments to be made to the Agent, no brokerage or finder’s fees or commissions are or will be payable by the Company or any Subsidiary to any broker, financial advisor or consultant, finder, placement agent, investment banker, bank or other Person with respect to the transactions contemplated by this Agreement. The Agent shall have no obligation with respect to any fees or with respect to any claims made by or on behalf of other Persons for fees of a type contemplated in this Section that may be due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w:t>
        <w:tab/>
        <w:t>      </w:t>
      </w:r>
      <w:r>
        <w:rPr>
          <w:rFonts w:ascii="Times New Roman;Times;Serif" w:hAnsi="Times New Roman;Times;Serif"/>
          <w:b w:val="false"/>
          <w:i w:val="false"/>
          <w:caps w:val="false"/>
          <w:smallCaps w:val="false"/>
          <w:sz w:val="20"/>
          <w:u w:val="single"/>
        </w:rPr>
        <w:t>No Other Sales Agency Agreement</w:t>
      </w:r>
      <w:r>
        <w:rPr>
          <w:rFonts w:ascii="Times New Roman;Times;Serif" w:hAnsi="Times New Roman;Times;Serif"/>
          <w:b w:val="false"/>
          <w:i w:val="false"/>
          <w:caps w:val="false"/>
          <w:smallCaps w:val="false"/>
          <w:sz w:val="20"/>
        </w:rPr>
        <w:t>. As of the date hereof, the Company has not entered into any other sales agency agreements or other similar arrangements with any agent or any other representative in respect of “at the market” or continuous equity offerings of the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w:t>
        <w:tab/>
        <w:t>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immediately after receipt of payment for the ADSs from the Agent pursuant to this Agreement, will not be an “investment company” within the meaning of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w:t>
        <w:tab/>
        <w:t>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ADSs are registered pursuant to Section 12(b) or 12(g) of the Exchange Act, and the Company has taken no action designed to, or which to its knowledge is likely to have the effect of, terminating the registration of the ADSs under the Exchange Act nor has the Company received any notification that the Commission is contemplating terminating such registration. The Company has not, in the 12 months preceding the date hereof, received notice from the Exchange to the effect that the Company is not in compliance with the listing or maintenance requirements of the Exchange. The Company is, and has no reason to believe that it will not in the foreseeable future continue to be, in compliance with all such listing and maintenance requirements. The ADSs are currently eligible for electronic transfer through the Depository Trust Company or another established clearing corporation and the Company is current in payment of the fees to Depository and the Depository Trust Company (or such other established clearing corporation) in connection with such electronic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w:t>
        <w:tab/>
        <w:t>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Based on the consolidated financial condition of the Company as of the Effective Date,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w:t>
        <w:tab/>
        <w:t>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Except for matters that would not, individually or in the aggregate, have or reasonably be expected to result in a Material Adverse Effect, the Company and its Subsidiaries each (i) has made or filed all necessary United States federal, state and local income and all foreign income and franchise tax returns, reports and declarations required by any jurisdiction to which it is subject, and (ii) has set aside on its books provision reasonably adequate for the payment of all material taxes for periods subsequent to the periods to which such returns, reports or declarations apply. The Company has no knowledge of any United States federal, state or other governmental tax deficiency, penalty or assessment which has been or might be asserted or threatened against it which would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w:t>
        <w:tab/>
        <w:t>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(i) Neither the Company nor, to the Company’s knowledge, the Subsidiaries, nor to the Company’s knowledge, any of their respective executive officers has, in the past five years,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 (ii) no relationship, direct or indirect, exists between or among the Company or, to the Company’s knowledge, the Subsidiaries or any affiliate of any of them, on the one hand, and the directors, officers and shareholders of the Company or, to the Company’s knowledge, the Subsidiaries, on the other hand, that is required by the Securities Act to be described in the Registration Statement and the Prospectus that is not so described; (iii) no relationship, direct or indirect, exists between or among the Company or the Subsidiaries, on the one hand, and the directors, officers or shareholders of the Company or, to the Company’s knowledge, the Subsidiaries, on the other hand, that is required by the rules of FINRA to be described in the Registration Statement and the Prospectus that is not so described; (iv) there are no material outstanding loans or advances or material guarantees of indebtedness by the Company or, to the Company’s knowledge, the Subsidiaries to or for the benefit of any of their respective officers or directors or any of the members of the families of any of them; and (v) the Company has not offered, or caused any placement agent to offer, Ordinary Shares to any person with the intent to influence unlawfully (A) a customer or supplier of the Company or the Subsidiaries to alter the customer’s or supplier’s level or type of business with the Company or the Subsidiaries or (B) a trade journalist or publication to write or publish favorable information about the Company or the Subsidiaries or any of their respective products or services, and, (vi) neither the Company nor the Subsidiaries nor, to the Company’s knowledge, any employee or agent of the Company or the Subsidiaries has made any payment of funds of the Company or the Subsidiaries or received or retained any funds in violation of any law, rule or regulation (including, without limitation, the Foreign Corrupt Practices Act of 1977), which payment, receipt or retention of funds is of a character required to be disclosed in the Registration Statement or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w:t>
        <w:tab/>
        <w:t>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KPMG Huazhen LLP (the “</w:t>
      </w:r>
      <w:r>
        <w:rPr>
          <w:rFonts w:ascii="Times New Roman;Times;Serif" w:hAnsi="Times New Roman;Times;Serif"/>
          <w:b w:val="false"/>
          <w:i w:val="false"/>
          <w:caps w:val="false"/>
          <w:smallCaps w:val="false"/>
          <w:sz w:val="20"/>
          <w:u w:val="single"/>
        </w:rPr>
        <w:t>Company Auditor</w:t>
      </w:r>
      <w:r>
        <w:rPr>
          <w:rFonts w:ascii="Times New Roman;Times;Serif" w:hAnsi="Times New Roman;Times;Serif"/>
          <w:b w:val="false"/>
          <w:i w:val="false"/>
          <w:caps w:val="false"/>
          <w:smallCaps w:val="false"/>
          <w:sz w:val="20"/>
        </w:rPr>
        <w:t>”) is an independent public accounting firm as required by the Exchange Act. Except as set forth in the SEC Reports, the Company Auditor has not, during the periods covered by the financial statements included in the Prospectus, provided to the Company any non-audit services, as such term is used in Section 10A(g) of the Exchange Act. To the Company’s knowledge, the Company Auditor is not in violation of the auditor independence requirements of the Sarbanes-Oxley Act with respect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w:t>
        <w:tab/>
        <w:t>     </w:t>
      </w:r>
      <w:r>
        <w:rPr>
          <w:rFonts w:ascii="Times New Roman;Times;Serif" w:hAnsi="Times New Roman;Times;Serif"/>
          <w:b w:val="false"/>
          <w:i w:val="false"/>
          <w:caps w:val="false"/>
          <w:smallCaps w:val="false"/>
          <w:sz w:val="20"/>
          <w:u w:val="single"/>
        </w:rPr>
        <w:t>Regulation M Compliance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ADSs or Ordinary Shares, (ii) sold, bid for, purchased, or, paid any compensation for soliciting purchases of, any of the ADSs or Ordinary Shares, or (iii) paid or agreed to pay to any Person any compensation for soliciting another to purchase any other securities of the Company, other than, in the case of clauses (ii) and (iii), compensation paid to the Agent in connection with the sales of the ADSs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Equity Plans</w:t>
      </w:r>
      <w:r>
        <w:rPr>
          <w:rFonts w:ascii="Times New Roman;Times;Serif" w:hAnsi="Times New Roman;Times;Serif"/>
          <w:b w:val="false"/>
          <w:i w:val="false"/>
          <w:caps w:val="false"/>
          <w:smallCaps w:val="false"/>
          <w:sz w:val="20"/>
        </w:rPr>
        <w:t>. Each share option granted by the Company under the Company’s equity plan was granted (i) in accordance with the terms of the Company’s equity plan and (ii) with an exercise price at least equal to the fair market value of the Ordinary Shares on the date such share option would be considered granted under GAAP and applicable law. No share option granted under the Company’s equity plan has been backdated. The Company has not knowingly granted, and there is no and has been no Company policy or practice to knowingly grant, share options prior to, or otherwise knowingly coordinate the grant of share options with, the release or other public announcement of material information regarding the Company or its Subsidiaries or their financial results or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w:t>
        <w:tab/>
        <w:t>        </w:t>
      </w:r>
      <w:r>
        <w:rPr>
          <w:rFonts w:ascii="Times New Roman;Times;Serif" w:hAnsi="Times New Roman;Times;Serif"/>
          <w:b w:val="false"/>
          <w:i w:val="false"/>
          <w:caps w:val="false"/>
          <w:smallCaps w:val="false"/>
          <w:sz w:val="20"/>
          <w:u w:val="single"/>
        </w:rPr>
        <w:t>Office of Foreign Assets Control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Neither the Company nor any Subsidiary (collectively, the “</w:t>
            </w:r>
            <w:r>
              <w:rPr>
                <w:u w:val="single"/>
              </w:rPr>
              <w:t>Entity</w:t>
            </w:r>
            <w:r>
              <w:rPr/>
              <w:t>”) nor any director or officer of the Entity nor, to the Company’s knowledge, any employee, agent, affiliate or representative of the Entity, is a government, individual, or entity (in this paragraph (uu), “</w:t>
            </w:r>
            <w:r>
              <w:rPr>
                <w:u w:val="single"/>
              </w:rPr>
              <w:t>Person</w:t>
            </w:r>
            <w:r>
              <w:rPr/>
              <w:t>”) that is, or is owned or controlled by a Person that is: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both"/>
              <w:rPr/>
            </w:pPr>
            <w:r>
              <w:rPr/>
              <w:t>the subject of any sanctions administered or enforced by the U.S. Department of Treasury’s Office of Foreign Assets Control (“</w:t>
            </w:r>
            <w:r>
              <w:rPr>
                <w:u w:val="single"/>
              </w:rPr>
              <w:t>OFAC</w:t>
            </w:r>
            <w:r>
              <w:rPr/>
              <w:t>”), the United Nations Security Council (“</w:t>
            </w:r>
            <w:r>
              <w:rPr>
                <w:u w:val="single"/>
              </w:rPr>
              <w:t>UNSC</w:t>
            </w:r>
            <w:r>
              <w:rPr/>
              <w:t>”), the European Union (“</w:t>
            </w:r>
            <w:r>
              <w:rPr>
                <w:u w:val="single"/>
              </w:rPr>
              <w:t>EU</w:t>
            </w:r>
            <w:r>
              <w:rPr/>
              <w:t>”), His Majesty’s Treasury (“</w:t>
            </w:r>
            <w:r>
              <w:rPr>
                <w:u w:val="single"/>
              </w:rPr>
              <w:t>HMT</w:t>
            </w:r>
            <w:r>
              <w:rPr/>
              <w:t>”), or other relevant sanctions authority (collectively, “</w:t>
            </w:r>
            <w:r>
              <w:rPr>
                <w:u w:val="single"/>
              </w:rPr>
              <w:t>Sanctions</w:t>
            </w:r>
            <w:r>
              <w:rPr/>
              <w:t>”), nor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47"/>
        <w:gridCol w:w="9912"/>
      </w:tblGrid>
      <w:tr>
        <w:trPr/>
        <w:tc>
          <w:tcPr>
            <w:tcW w:w="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ii.</w:t>
            </w:r>
          </w:p>
        </w:tc>
        <w:tc>
          <w:tcPr>
            <w:tcW w:w="9912" w:type="dxa"/>
            <w:tcBorders/>
            <w:vAlign w:val="center"/>
          </w:tcPr>
          <w:p>
            <w:pPr>
              <w:pStyle w:val="TableContents"/>
              <w:bidi w:val="0"/>
              <w:spacing w:before="0" w:after="283"/>
              <w:jc w:val="both"/>
              <w:rPr/>
            </w:pPr>
            <w:r>
              <w:rPr/>
              <w:t>located, organized or resident in a country or territory that is the subject of Sanctions.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The Entity will not, directly or indirectly, knowingly use the proceeds of the offering, or lend, contribute or otherwise make available such proceeds to any subsidiary, joint venture partner or other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both"/>
              <w:rPr/>
            </w:pPr>
            <w:r>
              <w:rPr/>
              <w:t>to fund or facilitate any activities or business of or with any Person or in any country or territory that, at the time of such funding or facilitation, is the subject of Sanctions;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both"/>
              <w:rPr/>
            </w:pPr>
            <w:r>
              <w:rPr/>
              <w:t>in any other manner that will result in a violation of Sanctions by any Person (including any Person participating in the offering, whether as underwriter, advisor, investor or otherwise).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The Entity represents and covenants that, except as detailed in the Registration Statement and the Prospectus, for the past 5 years, it has not knowingly engaged in and is not now knowingly engaged in any dealing or transactions with any Person, or in any country or territory, that at the time of the dealing or transaction is or was the subject of Sanctions.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w:t>
        <w:tab/>
        <w:t>      </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On each Settlement Date, all share transfer or other taxes (other than income taxes), which are required to be paid in connection with the sale and transfer of the Placement ADSs or Ordinary Shares to be issued hereunder will be, or will have been, fully paid or provided for by the Company and all laws imposing such taxes will be or will have been fully complied with. Provided that (i) the Agent is not a resident in the Cayman Islands for tax purposes and (ii) the Agent is a resident of a jurisdiction for the purposes of a double tax treaty between the Cayman Islands and the jurisdiction, is entitled to the benefits of the treaty and does not, and is not deemed to, carry on business through a permanent establishment in the Cayman Islands, no stamp, registration, issuance, transfer taxes or other similar taxes, duties, fees or charges (“</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are payable by or on behalf of the Agent in connection with (A) the issuance of the Ordinary Shares  and the delivery of the Placement ADSs in the manner contemplated by this Agreement, (B) the deposit with the depositary of the Ordinary Shares against issuance of the Placement ADSs or (C) the sale and delivery by the Agent of the Placement ADSs as contemplated herein. For the avoidance of doubt, income taxes, withholding taxes, capital gains taxes and taxes on dividends shall not be considered “Transfer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w:t>
        <w:tab/>
        <w:t>        </w:t>
      </w:r>
      <w:r>
        <w:rPr>
          <w:rFonts w:ascii="Times New Roman;Times;Serif" w:hAnsi="Times New Roman;Times;Serif"/>
          <w:b w:val="false"/>
          <w:i w:val="false"/>
          <w:caps w:val="false"/>
          <w:smallCaps w:val="false"/>
          <w:sz w:val="20"/>
          <w:u w:val="single"/>
        </w:rPr>
        <w:t>U.S. Real Property Holding Corporation</w:t>
      </w:r>
      <w:r>
        <w:rPr>
          <w:rFonts w:ascii="Times New Roman;Times;Serif" w:hAnsi="Times New Roman;Times;Serif"/>
          <w:b w:val="false"/>
          <w:i w:val="false"/>
          <w:caps w:val="false"/>
          <w:smallCaps w:val="false"/>
          <w:sz w:val="20"/>
        </w:rPr>
        <w:t>. The Company is not and has never been a U.S. real property holding corporation within the meaning of Section 897 of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w:t>
        <w:tab/>
        <w:t>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or Affiliates is subject to the Bank Holding Company Act of 1956, as amended (the “</w:t>
      </w:r>
      <w:r>
        <w:rPr>
          <w:rFonts w:ascii="Times New Roman;Times;Serif" w:hAnsi="Times New Roman;Times;Serif"/>
          <w:b w:val="false"/>
          <w:i w:val="false"/>
          <w:caps w:val="false"/>
          <w:smallCaps w:val="false"/>
          <w:sz w:val="20"/>
          <w:u w:val="single"/>
        </w:rPr>
        <w:t>BHCA</w:t>
      </w:r>
      <w:r>
        <w:rPr>
          <w:rFonts w:ascii="Times New Roman;Times;Serif" w:hAnsi="Times New Roman;Times;Serif"/>
          <w:b w:val="false"/>
          <w:i w:val="false"/>
          <w:caps w:val="false"/>
          <w:smallCaps w:val="false"/>
          <w:sz w:val="20"/>
        </w:rPr>
        <w:t>”) and to regulation by the Board of Governors of the Federal Reserve System (the “</w:t>
      </w:r>
      <w:r>
        <w:rPr>
          <w:rFonts w:ascii="Times New Roman;Times;Serif" w:hAnsi="Times New Roman;Times;Serif"/>
          <w:b w:val="false"/>
          <w:i w:val="false"/>
          <w:caps w:val="false"/>
          <w:smallCaps w:val="false"/>
          <w:sz w:val="20"/>
          <w:u w:val="single"/>
        </w:rPr>
        <w:t>Federal Reserve</w:t>
      </w:r>
      <w:r>
        <w:rPr>
          <w:rFonts w:ascii="Times New Roman;Times;Serif" w:hAnsi="Times New Roman;Times;Serif"/>
          <w:b w:val="false"/>
          <w:i w:val="false"/>
          <w:caps w:val="false"/>
          <w:smallCaps w:val="false"/>
          <w:sz w:val="20"/>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w:t>
        <w:tab/>
        <w:t>     </w:t>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val="false"/>
          <w:caps w:val="false"/>
          <w:smallCaps w:val="false"/>
          <w:sz w:val="20"/>
          <w:u w:val="single"/>
        </w:rPr>
        <w:t>FINRA Member Shareholders</w:t>
      </w:r>
      <w:r>
        <w:rPr>
          <w:rFonts w:ascii="Times New Roman;Times;Serif" w:hAnsi="Times New Roman;Times;Serif"/>
          <w:b w:val="false"/>
          <w:i w:val="false"/>
          <w:caps w:val="false"/>
          <w:smallCaps w:val="false"/>
          <w:sz w:val="20"/>
        </w:rPr>
        <w:t>. There are no affiliations with any FINRA member firm among the Company’s officers, directors or, to the knowledge of the Company, any five percent (5%) or greater shareholder of the Company, except as set forth in the Registration Statement, the Prospectus or any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w:t>
        <w:tab/>
        <w:t>     </w:t>
      </w:r>
      <w:r>
        <w:rPr>
          <w:rFonts w:ascii="Times New Roman;Times;Serif" w:hAnsi="Times New Roman;Times;Serif"/>
          <w:b w:val="false"/>
          <w:i w:val="false"/>
          <w:caps w:val="false"/>
          <w:smallCaps w:val="false"/>
          <w:sz w:val="20"/>
          <w:u w:val="single"/>
        </w:rPr>
        <w:t>Authorization of the Deposit Agreement</w:t>
      </w:r>
      <w:r>
        <w:rPr>
          <w:rFonts w:ascii="Times New Roman;Times;Serif" w:hAnsi="Times New Roman;Times;Serif"/>
          <w:b w:val="false"/>
          <w:i w:val="false"/>
          <w:caps w:val="false"/>
          <w:smallCaps w:val="false"/>
          <w:sz w:val="20"/>
        </w:rPr>
        <w:t>. The Deposit Agreement has been duly authorized, executed and delivered by the Company and constitutes a legal, valid and binding agreement of the Company, enforceable against the Company in accordance with its terms, except as enforcement thereof may be limited by bankruptcy, insolvency, fraudulent transfer, reorganization, moratorium and similar laws of general applicability relating to or affecting creditors’ rights and to general principles of equity; upon due issuance by the Depositary of ADSs against the deposit of the Ordinary Shares in respect thereof in accordance with the Deposit Agreement, such ADSs sold hereunder will be duly and validly issued and the owners and holders thereof will be entitled to the rights specified therein and in the Deposit Agreement; and the Deposit Agreement and the ADSs conform in all material respects to the descriptions thereof contained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w:t>
        <w:tab/>
        <w:t>     </w:t>
      </w:r>
      <w:r>
        <w:rPr>
          <w:rFonts w:ascii="Times New Roman;Times;Serif" w:hAnsi="Times New Roman;Times;Serif"/>
          <w:b w:val="false"/>
          <w:i w:val="false"/>
          <w:caps w:val="false"/>
          <w:smallCaps w:val="false"/>
          <w:sz w:val="20"/>
          <w:u w:val="single"/>
        </w:rPr>
        <w:t>Description of Securities</w:t>
      </w:r>
      <w:r>
        <w:rPr>
          <w:rFonts w:ascii="Times New Roman;Times;Serif" w:hAnsi="Times New Roman;Times;Serif"/>
          <w:b w:val="false"/>
          <w:i w:val="false"/>
          <w:caps w:val="false"/>
          <w:smallCaps w:val="false"/>
          <w:sz w:val="20"/>
        </w:rPr>
        <w:t>. The ADSs, Ordinary Shares, all outstanding warrants and convertible securities and the Company’s articles of association and other organizational documents conform in all material respects to the respective statements relating thereto contained in the Registration Statement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w:t>
        <w:tab/>
        <w:t>       </w:t>
      </w:r>
      <w:r>
        <w:rPr>
          <w:rFonts w:ascii="Times New Roman;Times;Serif" w:hAnsi="Times New Roman;Times;Serif"/>
          <w:b w:val="false"/>
          <w:i w:val="false"/>
          <w:caps w:val="false"/>
          <w:smallCaps w:val="false"/>
          <w:sz w:val="20"/>
          <w:u w:val="single"/>
        </w:rPr>
        <w:t>Agent for Service of Process</w:t>
      </w:r>
      <w:r>
        <w:rPr>
          <w:rFonts w:ascii="Times New Roman;Times;Serif" w:hAnsi="Times New Roman;Times;Serif"/>
          <w:b w:val="false"/>
          <w:i w:val="false"/>
          <w:caps w:val="false"/>
          <w:smallCaps w:val="false"/>
          <w:sz w:val="20"/>
        </w:rPr>
        <w:t>. The Company has validly appointed Cogency Global Inc. as its authorized agent for service of process pursuant to this Agreement and in connection with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w:t>
        <w:tab/>
        <w:t>      </w:t>
      </w:r>
      <w:r>
        <w:rPr>
          <w:rFonts w:ascii="Times New Roman;Times;Serif" w:hAnsi="Times New Roman;Times;Serif"/>
          <w:b w:val="false"/>
          <w:i w:val="false"/>
          <w:caps w:val="false"/>
          <w:smallCaps w:val="false"/>
          <w:sz w:val="20"/>
          <w:u w:val="single"/>
        </w:rPr>
        <w:t>Immunity from Jurisdiction</w:t>
      </w:r>
      <w:r>
        <w:rPr>
          <w:rFonts w:ascii="Times New Roman;Times;Serif" w:hAnsi="Times New Roman;Times;Serif"/>
          <w:b w:val="false"/>
          <w:i w:val="false"/>
          <w:caps w:val="false"/>
          <w:smallCaps w:val="false"/>
          <w:sz w:val="20"/>
        </w:rPr>
        <w:t>. Neither the Company nor the Subsidiary nor any of their properties or assets has any immunity from the jurisdiction of any court or from any legal process (whether through service or notice, attachment prior to judgment, attachment in aid of execution or otherwise) under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w:t>
        <w:tab/>
        <w:t>       </w:t>
      </w:r>
      <w:r>
        <w:rPr>
          <w:rFonts w:ascii="Times New Roman;Times;Serif" w:hAnsi="Times New Roman;Times;Serif"/>
          <w:b w:val="false"/>
          <w:i w:val="false"/>
          <w:caps w:val="false"/>
          <w:smallCaps w:val="false"/>
          <w:sz w:val="20"/>
          <w:u w:val="single"/>
        </w:rPr>
        <w:t>Submission to Jurisdiction</w:t>
      </w:r>
      <w:r>
        <w:rPr>
          <w:rFonts w:ascii="Times New Roman;Times;Serif" w:hAnsi="Times New Roman;Times;Serif"/>
          <w:b w:val="false"/>
          <w:i w:val="false"/>
          <w:caps w:val="false"/>
          <w:smallCaps w:val="false"/>
          <w:sz w:val="20"/>
        </w:rPr>
        <w:t>. The Company has the power to submit, and pursuant to Section 15 of this Agreement, has legally, validly and irrevocably submitted, to the personal jurisdiction of each U.S. federal court or state court located in the Borough of Manhattan, the City and County of New York, New York, U.S.A.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w:t>
        <w:tab/>
        <w:t>     </w:t>
      </w:r>
      <w:r>
        <w:rPr>
          <w:rFonts w:ascii="Times New Roman;Times;Serif" w:hAnsi="Times New Roman;Times;Serif"/>
          <w:b w:val="false"/>
          <w:i w:val="false"/>
          <w:caps w:val="false"/>
          <w:smallCaps w:val="false"/>
          <w:sz w:val="20"/>
          <w:u w:val="single"/>
        </w:rPr>
        <w:t>CFC Status</w:t>
      </w:r>
      <w:r>
        <w:rPr>
          <w:rFonts w:ascii="Times New Roman;Times;Serif" w:hAnsi="Times New Roman;Times;Serif"/>
          <w:b w:val="false"/>
          <w:i w:val="false"/>
          <w:caps w:val="false"/>
          <w:smallCaps w:val="false"/>
          <w:sz w:val="20"/>
        </w:rPr>
        <w:t>. The Company was not a “controlled foreign corporation” (“</w:t>
      </w:r>
      <w:r>
        <w:rPr>
          <w:rFonts w:ascii="Times New Roman;Times;Serif" w:hAnsi="Times New Roman;Times;Serif"/>
          <w:b w:val="false"/>
          <w:i w:val="false"/>
          <w:caps w:val="false"/>
          <w:smallCaps w:val="false"/>
          <w:sz w:val="20"/>
          <w:u w:val="single"/>
        </w:rPr>
        <w:t>CFC</w:t>
      </w:r>
      <w:r>
        <w:rPr>
          <w:rFonts w:ascii="Times New Roman;Times;Serif" w:hAnsi="Times New Roman;Times;Serif"/>
          <w:b w:val="false"/>
          <w:i w:val="false"/>
          <w:caps w:val="false"/>
          <w:smallCaps w:val="false"/>
          <w:sz w:val="20"/>
        </w:rPr>
        <w:t>”) as defined in the U.S. Internal Revenue Code of 1986, as amended, for the taxable year ended December 31, 2022 and, based on the Company’s expectations with respect to its shareholders, the Company does not expect to be classified as a CFC for the taxable year ending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w:t>
        <w:tab/>
        <w:t>     </w:t>
      </w:r>
      <w:r>
        <w:rPr>
          <w:rFonts w:ascii="Times New Roman;Times;Serif" w:hAnsi="Times New Roman;Times;Serif"/>
          <w:b w:val="false"/>
          <w:i w:val="false"/>
          <w:caps w:val="false"/>
          <w:smallCaps w:val="false"/>
          <w:sz w:val="20"/>
          <w:u w:val="single"/>
        </w:rPr>
        <w:t>Conformity with EDGAR Filing</w:t>
      </w:r>
      <w:r>
        <w:rPr>
          <w:rFonts w:ascii="Times New Roman;Times;Serif" w:hAnsi="Times New Roman;Times;Serif"/>
          <w:b w:val="false"/>
          <w:i w:val="false"/>
          <w:caps w:val="false"/>
          <w:smallCaps w:val="false"/>
          <w:sz w:val="20"/>
        </w:rPr>
        <w:t>. The Prospectus delivered to the Agent for use in connection with the sale of the Placement ADSs pursuant to this Agreement will be identical to the versions of the Prospectus created to be transmitted to the Commission for filing via EDGAR, except to the extent permitted by Regulation 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t>
        <w:tab/>
        <w:t>    </w:t>
      </w:r>
      <w:r>
        <w:rPr>
          <w:rFonts w:ascii="Times New Roman;Times;Serif" w:hAnsi="Times New Roman;Times;Serif"/>
          <w:b w:val="false"/>
          <w:i w:val="false"/>
          <w:caps w:val="false"/>
          <w:smallCaps w:val="false"/>
          <w:sz w:val="20"/>
          <w:u w:val="single"/>
        </w:rPr>
        <w:t>Enforceability of Agreements</w:t>
      </w:r>
      <w:r>
        <w:rPr>
          <w:rFonts w:ascii="Times New Roman;Times;Serif" w:hAnsi="Times New Roman;Times;Serif"/>
          <w:b w:val="false"/>
          <w:i w:val="false"/>
          <w:caps w:val="false"/>
          <w:smallCaps w:val="false"/>
          <w:sz w:val="20"/>
        </w:rPr>
        <w:t>. All agreements between the Company and third parties expressly referenced in the Prospectus, other than such agreements that have expired by their terms or whose termination is disclosed in documents filed by the Company on EDGAR, are legal, valid and binding obligations of the Company and, to the Company’s knowledge,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 and except for any unenforceability that, individually or in the aggregate, would not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val="false"/>
          <w:i w:val="false"/>
          <w:caps w:val="false"/>
          <w:smallCaps w:val="false"/>
          <w:sz w:val="20"/>
          <w:u w:val="single"/>
        </w:rPr>
        <w:t>No Material Defaults</w:t>
      </w:r>
      <w:r>
        <w:rPr>
          <w:rFonts w:ascii="Times New Roman;Times;Serif" w:hAnsi="Times New Roman;Times;Serif"/>
          <w:b w:val="false"/>
          <w:i w:val="false"/>
          <w:caps w:val="false"/>
          <w:smallCaps w:val="false"/>
          <w:sz w:val="20"/>
        </w:rPr>
        <w:t>. Neither the Company nor any Subsidiary has defaulted on any installment on indebtedness for borrowed money or on any rental on one or more long-term leases, which defaults, individually or in the aggregate, would have a Material Adverse Effect. The Company has not filed a report pursuant to Section 13(a) or 15(d) of the Exchange Act since the filing of its last Annual Report on Form 20-F, indicating that it (i) has failed to pay any dividend or sinking fund installment on preferred stock or (ii) has defaulted on any installment on indebtedness for borrowed money or on any rental on one or more long-term leases, which defaults, individually or in the aggregate, would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w:t>
        <w:tab/>
        <w:t>     </w:t>
      </w:r>
      <w:r>
        <w:rPr>
          <w:rFonts w:ascii="Times New Roman;Times;Serif" w:hAnsi="Times New Roman;Times;Serif"/>
          <w:b w:val="false"/>
          <w:i w:val="false"/>
          <w:caps w:val="false"/>
          <w:smallCaps w:val="false"/>
          <w:sz w:val="20"/>
          <w:u w:val="single"/>
        </w:rPr>
        <w:t>Compliance with Applicable Laws</w:t>
      </w:r>
      <w:r>
        <w:rPr>
          <w:rFonts w:ascii="Times New Roman;Times;Serif" w:hAnsi="Times New Roman;Times;Serif"/>
          <w:b w:val="false"/>
          <w:i w:val="false"/>
          <w:caps w:val="false"/>
          <w:smallCaps w:val="false"/>
          <w:sz w:val="20"/>
        </w:rPr>
        <w:t>.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w:t>
        <w:tab/>
        <w:t>      </w:t>
      </w:r>
      <w:r>
        <w:rPr>
          <w:rFonts w:ascii="Times New Roman;Times;Serif" w:hAnsi="Times New Roman;Times;Serif"/>
          <w:b w:val="false"/>
          <w:i w:val="false"/>
          <w:caps w:val="false"/>
          <w:smallCaps w:val="false"/>
          <w:sz w:val="20"/>
          <w:u w:val="single"/>
        </w:rPr>
        <w:t>Off-Balance Sheet Arrangements</w:t>
      </w:r>
      <w:r>
        <w:rPr>
          <w:rFonts w:ascii="Times New Roman;Times;Serif" w:hAnsi="Times New Roman;Times;Serif"/>
          <w:b w:val="false"/>
          <w:i w:val="false"/>
          <w:caps w:val="false"/>
          <w:smallCaps w:val="false"/>
          <w:sz w:val="20"/>
        </w:rPr>
        <w:t>. There are no transactions, arrangements and other relationships between and/or among the Company, and/or, to the knowledge of the Company, any of its affiliates and any unconsolidated entity, including, but not limited to, any structured finance, special purpose or limited purpose entity (each, an “</w:t>
      </w:r>
      <w:r>
        <w:rPr>
          <w:rFonts w:ascii="Times New Roman;Times;Serif" w:hAnsi="Times New Roman;Times;Serif"/>
          <w:b w:val="false"/>
          <w:i w:val="false"/>
          <w:caps w:val="false"/>
          <w:smallCaps w:val="false"/>
          <w:sz w:val="20"/>
          <w:u w:val="single"/>
        </w:rPr>
        <w:t>Off Balance Sheet Transaction</w:t>
      </w:r>
      <w:r>
        <w:rPr>
          <w:rFonts w:ascii="Times New Roman;Times;Serif" w:hAnsi="Times New Roman;Times;Serif"/>
          <w:b w:val="false"/>
          <w:i w:val="false"/>
          <w:caps w:val="false"/>
          <w:smallCaps w:val="false"/>
          <w:sz w:val="20"/>
        </w:rPr>
        <w:t>”) that would affect materially the Company’s liquidity or the availability of or requirements for its capital resources, including those Off Balance Sheet Transactions described in the Commission’s Statement about Management’s Discussion and Analysis of Financial Conditions and Results of Operations (Release Nos. 33-8056; 34-45321; FR-61), required to be described in the Registration Statement or the Prospectus which have not been described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w:t>
        <w:tab/>
        <w:t>    </w:t>
      </w:r>
      <w:r>
        <w:rPr>
          <w:rFonts w:ascii="Times New Roman;Times;Serif" w:hAnsi="Times New Roman;Times;Serif"/>
          <w:b w:val="false"/>
          <w:i w:val="false"/>
          <w:caps w:val="false"/>
          <w:smallCaps w:val="false"/>
          <w:sz w:val="20"/>
          <w:u w:val="single"/>
        </w:rPr>
        <w:t>Forward-Looking Statements</w:t>
      </w:r>
      <w:r>
        <w:rPr>
          <w:rFonts w:ascii="Times New Roman;Times;Serif" w:hAnsi="Times New Roman;Times;Serif"/>
          <w:b w:val="false"/>
          <w:i w:val="false"/>
          <w:caps w:val="false"/>
          <w:smallCaps w:val="false"/>
          <w:sz w:val="20"/>
        </w:rPr>
        <w:t>. No forward-looking statement (within the meaning of Section 27A of the Securities Act and Section 21E of the Exchange Act) (a “</w:t>
      </w:r>
      <w:r>
        <w:rPr>
          <w:rFonts w:ascii="Times New Roman;Times;Serif" w:hAnsi="Times New Roman;Times;Serif"/>
          <w:b w:val="false"/>
          <w:i w:val="false"/>
          <w:caps w:val="false"/>
          <w:smallCaps w:val="false"/>
          <w:sz w:val="20"/>
          <w:u w:val="single"/>
        </w:rPr>
        <w:t>Forward-Looking Statement</w:t>
      </w:r>
      <w:r>
        <w:rPr>
          <w:rFonts w:ascii="Times New Roman;Times;Serif" w:hAnsi="Times New Roman;Times;Serif"/>
          <w:b w:val="false"/>
          <w:i w:val="false"/>
          <w:caps w:val="false"/>
          <w:smallCaps w:val="false"/>
          <w:sz w:val="20"/>
        </w:rPr>
        <w:t>”) contained in the Registration Statement and the Prospectus has been made or reaffirmed without a reasonable basis or has been disclosed other than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w:t>
        <w:tab/>
        <w:t>   </w:t>
      </w:r>
      <w:r>
        <w:rPr>
          <w:rFonts w:ascii="Times New Roman;Times;Serif" w:hAnsi="Times New Roman;Times;Serif"/>
          <w:b w:val="false"/>
          <w:i w:val="false"/>
          <w:caps w:val="false"/>
          <w:smallCaps w:val="false"/>
          <w:sz w:val="20"/>
          <w:u w:val="single"/>
        </w:rPr>
        <w:t>Margin Rules</w:t>
      </w:r>
      <w:r>
        <w:rPr>
          <w:rFonts w:ascii="Times New Roman;Times;Serif" w:hAnsi="Times New Roman;Times;Serif"/>
          <w:b w:val="false"/>
          <w:i w:val="false"/>
          <w:caps w:val="false"/>
          <w:smallCaps w:val="false"/>
          <w:sz w:val="20"/>
        </w:rPr>
        <w:t>. Neither the issuance, sale and delivery of the Placement ADSs nor the application of the proceeds thereof by the Company as described in the Registration Statement and the Prospectus will violate Regulation T, U or X of the Board of Governors of the Federal Reserve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ccc.</w:t>
        <w:tab/>
        <w:t>    </w:t>
      </w:r>
      <w:r>
        <w:rPr>
          <w:rFonts w:ascii="Times New Roman;Times;Serif" w:hAnsi="Times New Roman;Times;Serif"/>
          <w:b w:val="false"/>
          <w:i w:val="false"/>
          <w:caps w:val="false"/>
          <w:smallCaps w:val="false"/>
          <w:sz w:val="20"/>
          <w:u w:val="single"/>
        </w:rPr>
        <w:t>IT Systems</w:t>
      </w:r>
      <w:r>
        <w:rPr>
          <w:rFonts w:ascii="Times New Roman;Times;Serif" w:hAnsi="Times New Roman;Times;Serif"/>
          <w:b w:val="false"/>
          <w:i w:val="false"/>
          <w:caps w:val="false"/>
          <w:smallCaps w:val="false"/>
          <w:sz w:val="20"/>
        </w:rPr>
        <w:t>. (i)(x) There has been no security breach or attack or other compromise of or relating to any of the Company’s and its Subsidiaries’ information technology and computer systems, networks, hardware, software, data (including the data of their respective customers, employees, suppliers, vendors and any third party data maintained by or on behalf of them), equipment or technology (“</w:t>
      </w:r>
      <w:r>
        <w:rPr>
          <w:rFonts w:ascii="Times New Roman;Times;Serif" w:hAnsi="Times New Roman;Times;Serif"/>
          <w:b w:val="false"/>
          <w:i w:val="false"/>
          <w:caps w:val="false"/>
          <w:smallCaps w:val="false"/>
          <w:sz w:val="20"/>
          <w:u w:val="single"/>
        </w:rPr>
        <w:t>IT Systems and Data</w:t>
      </w:r>
      <w:r>
        <w:rPr>
          <w:rFonts w:ascii="Times New Roman;Times;Serif" w:hAnsi="Times New Roman;Times;Serif"/>
          <w:b w:val="false"/>
          <w:i w:val="false"/>
          <w:caps w:val="false"/>
          <w:smallCaps w:val="false"/>
          <w:sz w:val="20"/>
        </w:rPr>
        <w:t>”), and (y) the Company and its Subsidiaries have not been notified of, and have no knowledge of any event or condition that would reasonably be expected to result in any security breach, attack or compromise to their IT Systems and Data, (ii) the Company and each of its Subsidiaries have complied, and are presently in compliance with, all applicable laws, statutes or any judgment, order, rule or regulation of any court or arbitrator or governmental or regulatory authority and all industry standards, internal policies and contractual obligations relating to the privacy and security of IT Systems and Data and to the protection of such IT Systems and Data from unauthorized use, access, misappropriation or modification and (iii) the Company and each of its subsidiaries have implemented backup and disaster recovery technology consistent with industry standards and practice, except in each case as could not have or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ddd.</w:t>
        <w:tab/>
        <w:t>   </w:t>
      </w:r>
      <w:r>
        <w:rPr>
          <w:rFonts w:ascii="Times New Roman;Times;Serif" w:hAnsi="Times New Roman;Times;Serif"/>
          <w:b w:val="false"/>
          <w:i w:val="false"/>
          <w:caps w:val="false"/>
          <w:smallCaps w:val="false"/>
          <w:sz w:val="20"/>
          <w:u w:val="single"/>
        </w:rPr>
        <w:t>Broker/Dealer Relationships</w:t>
      </w:r>
      <w:r>
        <w:rPr>
          <w:rFonts w:ascii="Times New Roman;Times;Serif" w:hAnsi="Times New Roman;Times;Serif"/>
          <w:b w:val="false"/>
          <w:i w:val="false"/>
          <w:caps w:val="false"/>
          <w:smallCaps w:val="false"/>
          <w:sz w:val="20"/>
        </w:rPr>
        <w:t>. Neither the Company nor any Subsidiary or any related entities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eee.</w:t>
        <w:tab/>
        <w:t>    </w:t>
      </w:r>
      <w:r>
        <w:rPr>
          <w:rFonts w:ascii="Times New Roman;Times;Serif" w:hAnsi="Times New Roman;Times;Serif"/>
          <w:b w:val="false"/>
          <w:i w:val="false"/>
          <w:caps w:val="false"/>
          <w:smallCaps w:val="false"/>
          <w:sz w:val="20"/>
          <w:u w:val="single"/>
        </w:rPr>
        <w:t>FINRA Exemption</w:t>
      </w:r>
      <w:r>
        <w:rPr>
          <w:rFonts w:ascii="Times New Roman;Times;Serif" w:hAnsi="Times New Roman;Times;Serif"/>
          <w:b w:val="false"/>
          <w:i w:val="false"/>
          <w:caps w:val="false"/>
          <w:smallCaps w:val="false"/>
          <w:sz w:val="20"/>
        </w:rPr>
        <w:t>. As of the date of this Agreement, the Company meets the definition of an “experienced issuer” as defined in FINRA Rule 5110(j).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 officer of the Company and delivered to the Agent or to counsel for the Agent pursuant to or in connection with this Agreement shall be deemed to be a representation and warranty by the Company, as applicable, to the Agent as to the matters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Covenants of the Company</w:t>
      </w:r>
      <w:r>
        <w:rPr>
          <w:rFonts w:ascii="Times New Roman;Times;Serif" w:hAnsi="Times New Roman;Times;Serif"/>
          <w:b w:val="false"/>
          <w:i w:val="false"/>
          <w:caps w:val="false"/>
          <w:smallCaps w:val="false"/>
          <w:sz w:val="20"/>
        </w:rPr>
        <w:t>. The Company covenants and agrees with the Agent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Registration Statement Amendments</w:t>
      </w:r>
      <w:r>
        <w:rPr>
          <w:rFonts w:ascii="Times New Roman;Times;Serif" w:hAnsi="Times New Roman;Times;Serif"/>
          <w:b w:val="false"/>
          <w:i w:val="false"/>
          <w:caps w:val="false"/>
          <w:smallCaps w:val="false"/>
          <w:sz w:val="20"/>
        </w:rPr>
        <w:t>. After the date of this Agreement and during any period in which a prospectus relating to any Placement ADSs is required to be delivered by the Agent under the Securities Act (including in circumstances where such requirement may be satisfied pursuant to Rule 172 under the Securities Act) (the “</w:t>
      </w:r>
      <w:r>
        <w:rPr>
          <w:rFonts w:ascii="Times New Roman;Times;Serif" w:hAnsi="Times New Roman;Times;Serif"/>
          <w:b w:val="false"/>
          <w:i w:val="false"/>
          <w:caps w:val="false"/>
          <w:smallCaps w:val="false"/>
          <w:sz w:val="20"/>
          <w:u w:val="single"/>
        </w:rPr>
        <w:t>Prospectus Delivery Period</w:t>
      </w:r>
      <w:r>
        <w:rPr>
          <w:rFonts w:ascii="Times New Roman;Times;Serif" w:hAnsi="Times New Roman;Times;Serif"/>
          <w:b w:val="false"/>
          <w:i w:val="false"/>
          <w:caps w:val="false"/>
          <w:smallCaps w:val="false"/>
          <w:sz w:val="20"/>
        </w:rPr>
        <w:t>”) (i) the Company will notify the Agent promptly of the time when any subsequent amendment to the Registration Statement, other than documents incorporated by reference or amendments not related to any Placement, has been filed with the Commission and/or has become effective or any subsequent supplement to the Prospectus has been filed and of any request by the Commission for any amendment or supplement to the Registration Statement or Prospectus related to the Placement or for additional information related to the Placement, (ii) the Company will prepare and file with the Commission, promptly upon the Agent’s request and subject to the Company’s written consent, any amendments or supplements to the Registration Statement or Prospectus that, upon the advice of the Company’s legal counsel, may be necessary or advisable in connection with the distribution of the Placement ADSs by the Agent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failure of the Agent to make such request shall not relieve the Company of any obligation or liability hereunder, or affect the Agent’s right to rely on the representations and warranties made by the Company in this Agreement and provided, further, that the only remedy the Agent shall have with respect to the failure to make such filing shall be to cease making sales under this Agreement until such amendment or supplement is filed); (iii) the Company will not file any amendment or supplement to the Registration Statement or Prospectus relating to the Placement ADSs or a security convertible into the Placement ADSs (other than an Incorporated Document) unless a copy thereof has been submitted to the Agent within a reasonable period of time before the filing and the Agent has not reasonably objected thereto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Company has no obligation to provide the Agent any advance copy of such filing or to provide the Agent an opportunity to object to such filing if the filing does not name the Agent or does not relate to the transaction herein provided; and provided, further, that the only remedy the Agent shall have with respect to the failure by the Company to obtain such consent shall be to cease making sales under this Agreement) and the Company will furnish to the Agent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Times New Roman;Times;Serif" w:hAnsi="Times New Roman;Times;Serif"/>
          <w:b w:val="false"/>
          <w:i w:val="false"/>
          <w:caps w:val="false"/>
          <w:smallCaps w:val="false"/>
          <w:sz w:val="20"/>
          <w:u w:val="single"/>
        </w:rPr>
        <w:t>Section 7(a)</w:t>
      </w:r>
      <w:r>
        <w:rPr>
          <w:rFonts w:ascii="Times New Roman;Times;Serif" w:hAnsi="Times New Roman;Times;Serif"/>
          <w:b w:val="false"/>
          <w:i w:val="false"/>
          <w:caps w:val="false"/>
          <w:smallCaps w:val="false"/>
          <w:sz w:val="20"/>
        </w:rPr>
        <w:t>, based on the Company’s reasonable opinion or reasonable objections, shall be made exclusively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Notice of Commission Stop Orders</w:t>
      </w:r>
      <w:r>
        <w:rPr>
          <w:rFonts w:ascii="Times New Roman;Times;Serif" w:hAnsi="Times New Roman;Times;Serif"/>
          <w:b w:val="false"/>
          <w:i w:val="false"/>
          <w:caps w:val="false"/>
          <w:smallCaps w:val="false"/>
          <w:sz w:val="20"/>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ADSs for offering or sale in any jurisdiction, or of the initiation or threatening of any proceeding for any such purpose; and it will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any Issuer Free Writing Prospectus or for additional information related to the offering of the Placement ADSs or for additional information related to the Registration Statement, the Prospectus or any Issuer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Delivery of Prospectus; Subsequent Changes</w:t>
      </w:r>
      <w:r>
        <w:rPr>
          <w:rFonts w:ascii="Times New Roman;Times;Serif" w:hAnsi="Times New Roman;Times;Serif"/>
          <w:b w:val="false"/>
          <w:i w:val="false"/>
          <w:caps w:val="false"/>
          <w:smallCaps w:val="false"/>
          <w:sz w:val="20"/>
        </w:rPr>
        <w:t xml:space="preserve">. During the Prospectus Delivery Period,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430A under the Securities Act, it will use its commercially reasonable efforts to comply with the provisions of and make all requisite filings with the Commission pursuant to said Rule 430A and to notify the Agent promptly of all such filings. If during the Prospectus Delivery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Prospectus Delivery Period it is necessary to amend or supplement the Registration Statement or Prospectus to comply with the Securities Act, the Company will promptly notify the Agent to suspend the offering of Placement ADSs during such period and the Company will promptly amend or supplement the Registration Statement or Prospectus (at the expense of the Company) so as to correct such statement or omission or effect such compliance;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may delay the filing of any amendment or supplement, if in the judgment of the Company, it is in the best interest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Listing of Placement ADSs</w:t>
      </w:r>
      <w:r>
        <w:rPr>
          <w:rFonts w:ascii="Times New Roman;Times;Serif" w:hAnsi="Times New Roman;Times;Serif"/>
          <w:b w:val="false"/>
          <w:i w:val="false"/>
          <w:caps w:val="false"/>
          <w:smallCaps w:val="false"/>
          <w:sz w:val="20"/>
        </w:rPr>
        <w:t xml:space="preserve">. During the Prospectus Delivery Period, the Company will use its commercially reasonable efforts to cause the Placement ADSs to be listed on the Exchange and to qualify the Placement ADSs for sale under the securities laws of such jurisdictions in the United States as the Agent reasonably designates and to continue such qualifications in effect so long as required for the distribution of the Placement ADSs;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shall not be required in connection therewith to qualify as a foreign corporation or dealer in securities, file a general consent to service of process, or subject itself to taxation in any jurisdiction if it is not otherwise so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Delivery of Registration Statement and Prospectus</w:t>
      </w:r>
      <w:r>
        <w:rPr>
          <w:rFonts w:ascii="Times New Roman;Times;Serif" w:hAnsi="Times New Roman;Times;Serif"/>
          <w:b w:val="false"/>
          <w:i w:val="false"/>
          <w:caps w:val="false"/>
          <w:smallCaps w:val="false"/>
          <w:sz w:val="20"/>
        </w:rPr>
        <w:t xml:space="preserve">. The Company will furnish to the Agent and its counsel (at the reasonable expense of the Company) copies of the Registration Statement, the Prospectus (including all documents incorporated by reference therein) and all amendments and supplements to the Registration Statement or Prospectus that are filed with the Commission during the Prospectus Delivery Period (including all documents filed with the Commission during such period that are deemed to be incorporated by reference therein), in each case as soon as reasonably practicable and in such quantities as the Agent may from time to time reasonably request and, at the Agent’s request, will also furnish copies of the Prospectus to each exchange or market on which sales of the Placement ADSs may be made;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shall not be required to furnish any document (other than the Prospectus) to the Agent to the extent such document is available on EDGAR, such document does not name the Agent or does not relate to the transaction herein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Earnings Statement</w:t>
      </w:r>
      <w:r>
        <w:rPr>
          <w:rFonts w:ascii="Times New Roman;Times;Serif" w:hAnsi="Times New Roman;Times;Serif"/>
          <w:b w:val="false"/>
          <w:i w:val="false"/>
          <w:caps w:val="false"/>
          <w:smallCaps w:val="false"/>
          <w:sz w:val="20"/>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will use the Net Proceeds as described in the Prospectus in the section entitled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Notice of Other Sales</w:t>
      </w:r>
      <w:r>
        <w:rPr>
          <w:rFonts w:ascii="Times New Roman;Times;Serif" w:hAnsi="Times New Roman;Times;Serif"/>
          <w:b w:val="false"/>
          <w:i w:val="false"/>
          <w:caps w:val="false"/>
          <w:smallCaps w:val="false"/>
          <w:sz w:val="20"/>
        </w:rPr>
        <w:t>. Without the prior written consent of the Agent, the Company will not, directly or indirectly, offer to sell, sell, contract to sell, grant any option to sell or otherwise dispose of any Ordinary Shares or ADSs (other than the Placement ADSs offered pursuant to this Agreement) or securities convertible into or exchangeable for Ordinary Shares or ADSs, warrants or any rights to purchase or acquire, Ordinary Shares or ADSs during the period beginning on the date on which any Placement Notice is delivered to the Agent hereunder and ending on the second (2nd) Trading Day immediately following the final Settlement Date with respect to Placement ADSs sold pursuant to such Placement Notice (or, if the Placement Notice has been terminated or suspended prior to the sale of all Placement ADSs covered by a Placement Notice, the date of such suspension or termination); and will not directly or indirectly in any other “at the market” or continuous equity transaction offer to sell, sell, contract to sell, grant any option to sell or otherwise dispose of any Ordinary Shares or ADSs (other than the Placement ADSs offered pursuant to this Agreement) or securities convertible into or exchangeable for Ordinary Shares or ADSs, warrants or any rights to purchase or acquire, Ordinary Shares or ADSs prior to the termination of this Agreement; provided, however, that such restrictions will not apply in connection with the Company’s issuance or sale of (i) Ordinary Shares or ADSs, options to purchase Ordinary Shares or ADSs or Ordinary Shares or ADSs issuable upon the exercise of options, pursuant to any stock option, or benefits plan, stock ownership plan or dividend reinvestment plan (but not Ordinary Shares or ADSs subject to a waiver to exceed plan limits in its dividend reinvestment plan) of the Company whether now in effect or hereafter implemented; (ii) Ordinary Shares or ADSs issuable upon conversion of securities or the exercise of warrants, options or other rights in effect or outstanding, and disclosed in filings by the Company available on EDGAR or otherwise in writing to the Agent, (iii) Ordinary Shares or ADSs, or securities convertible into or exercisable for Ordinary Shares or ADSs, offered and sold in a privately negotiated transaction to vendors, customers, strategic partners or potential strategic partners or other investors conducted in a manner so as not to be integrated with the offering of Ordinary Shares or ADSs hereby and (iv) Ordinary Shares or ADSs in connection with any acquisition, strategic investment or other similar transaction (including any joint venture, strategic alliance or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Change of Circumstances</w:t>
      </w:r>
      <w:r>
        <w:rPr>
          <w:rFonts w:ascii="Times New Roman;Times;Serif" w:hAnsi="Times New Roman;Times;Serif"/>
          <w:b w:val="false"/>
          <w:i w:val="false"/>
          <w:caps w:val="false"/>
          <w:smallCaps w:val="false"/>
          <w:sz w:val="20"/>
        </w:rPr>
        <w:t>. The Company will, at any time during the pendency of a Placement Notice advise the Agent promptly after it shall have received notice or obtained knowledge thereof, of any information or fact that would alter or affect in any material respect any opinion, certificate, letter or other document required to be provided to the Agent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Due Diligence Cooperation</w:t>
      </w:r>
      <w:r>
        <w:rPr>
          <w:rFonts w:ascii="Times New Roman;Times;Serif" w:hAnsi="Times New Roman;Times;Serif"/>
          <w:b w:val="false"/>
          <w:i w:val="false"/>
          <w:caps w:val="false"/>
          <w:smallCaps w:val="false"/>
          <w:sz w:val="20"/>
        </w:rPr>
        <w:t>. During the term of this Agreement, the Company will cooperate with the reasonable due diligence review conducted by the Agent or its representatives in connection with the transactions contemplated hereby, including, without limitation, providing information and making available documents and senior corporate officers, during regular business hours and at the Company’s principal offices, as the Agent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Required Filings Relating to Placement of Placement ADSs</w:t>
      </w:r>
      <w:r>
        <w:rPr>
          <w:rFonts w:ascii="Times New Roman;Times;Serif" w:hAnsi="Times New Roman;Times;Serif"/>
          <w:b w:val="false"/>
          <w:i w:val="false"/>
          <w:caps w:val="false"/>
          <w:smallCaps w:val="false"/>
          <w:sz w:val="20"/>
        </w:rPr>
        <w:t>. The Company agrees that on such dates as the Securities Act shall require, the Company will (i) file a prospectus supplement with the Commission under the applicable paragraph of Rule 424(b) under the Securities Act (each and every date a filing under Rule 424(b) is made, a “</w:t>
      </w:r>
      <w:r>
        <w:rPr>
          <w:rFonts w:ascii="Times New Roman;Times;Serif" w:hAnsi="Times New Roman;Times;Serif"/>
          <w:b w:val="false"/>
          <w:i w:val="false"/>
          <w:caps w:val="false"/>
          <w:smallCaps w:val="false"/>
          <w:sz w:val="20"/>
          <w:u w:val="single"/>
        </w:rPr>
        <w:t>Filing Date</w:t>
      </w:r>
      <w:r>
        <w:rPr>
          <w:rFonts w:ascii="Times New Roman;Times;Serif" w:hAnsi="Times New Roman;Times;Serif"/>
          <w:b w:val="false"/>
          <w:i w:val="false"/>
          <w:caps w:val="false"/>
          <w:smallCaps w:val="false"/>
          <w:sz w:val="20"/>
        </w:rPr>
        <w:t>”), which prospectus supplement will set forth, within the relevant period, the amount of Placement ADSs sold through the Agent, the Net Proceeds to the Company and the compensation payable by the Company to the Agent with respect to such Placement ADSs, and (ii) deliver such number of copies of each such prospectus supplement to each exchange or market on which such sales were effected as may be required by the rules or regulations of such exchange or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Representation Dates; Certificate</w:t>
      </w:r>
      <w:r>
        <w:rPr>
          <w:rFonts w:ascii="Times New Roman;Times;Serif" w:hAnsi="Times New Roman;Times;Serif"/>
          <w:b w:val="false"/>
          <w:i w:val="false"/>
          <w:caps w:val="false"/>
          <w:smallCaps w:val="false"/>
          <w:sz w:val="20"/>
        </w:rPr>
        <w:t>. Each time during the term of this Agreement that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amends or supplements (other than a prospectus supplement relating solely to an offering of securities other than the Placement ADSs) the Registration Statement or the Prospectus relating to the Placement ADSs by means of a post-effective amendment, sticker, or supplement but not by means of incorporation of documents by reference into the Registration Statement or the Prospectus relating to the Placement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files an annual report on Form 20-F under the Exchange Act (including any Form 20-F/A containing amended financial information or a material amendment to the previously filed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furnishes its unaudited interim financial statements on Form 6-K under the Exchange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files a current report on Form 6-K containing amended financial information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date of filing of one or more of the documents referred to in clauses (i) through (iv) shall be a “</w:t>
      </w:r>
      <w:r>
        <w:rPr>
          <w:rFonts w:ascii="Times New Roman;Times;Serif" w:hAnsi="Times New Roman;Times;Serif"/>
          <w:b w:val="false"/>
          <w:i w:val="false"/>
          <w:caps w:val="false"/>
          <w:smallCaps w:val="false"/>
          <w:sz w:val="20"/>
          <w:u w:val="single"/>
        </w:rPr>
        <w:t>Representation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furnish the Agent (but in the case of clause (iv) above only if the Agent reasonably determines that the information contained in such Form 6-K is material) with a certificate, in the form attached hereto as </w:t>
      </w:r>
      <w:r>
        <w:rPr>
          <w:rFonts w:ascii="Times New Roman;Times;Serif" w:hAnsi="Times New Roman;Times;Serif"/>
          <w:b w:val="false"/>
          <w:i w:val="false"/>
          <w:caps w:val="false"/>
          <w:smallCaps w:val="false"/>
          <w:sz w:val="20"/>
          <w:u w:val="single"/>
        </w:rPr>
        <w:t>Exhibit 7(1)</w:t>
      </w:r>
      <w:r>
        <w:rPr>
          <w:rFonts w:ascii="Times New Roman;Times;Serif" w:hAnsi="Times New Roman;Times;Serif"/>
          <w:b w:val="false"/>
          <w:i w:val="false"/>
          <w:caps w:val="false"/>
          <w:smallCaps w:val="false"/>
          <w:sz w:val="20"/>
        </w:rPr>
        <w:t xml:space="preserve">. The requirement to provide a certificate under this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shall be waived for any Representation Date occurring at a time at which no Placement Notice is pending, which waiver shall continue until the earlier to occur of the date the Company delivers a Placement Notice hereunder (which for such calendar quarter shall be considered a Representation Date) and the next occurring Representation Date on which the Company files its annual report on Form 20-F. Notwithstanding the foregoing, (i) upon the delivery of the first Placement Notice hereunder and (ii) if the Company subsequently decides to sell Placement ADSs following a Representation Date when the Company relied on such waiver and did not provide the Agent with a certificate under this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then before the Agent sells any Placement ADSs, the Company shall provide the Agent with a certificate, in the form attached hereto as </w:t>
      </w:r>
      <w:r>
        <w:rPr>
          <w:rFonts w:ascii="Times New Roman;Times;Serif" w:hAnsi="Times New Roman;Times;Serif"/>
          <w:b w:val="false"/>
          <w:i w:val="false"/>
          <w:caps w:val="false"/>
          <w:smallCaps w:val="false"/>
          <w:sz w:val="20"/>
          <w:u w:val="single"/>
        </w:rPr>
        <w:t>Exhibit 7(1)</w:t>
      </w:r>
      <w:r>
        <w:rPr>
          <w:rFonts w:ascii="Times New Roman;Times;Serif" w:hAnsi="Times New Roman;Times;Serif"/>
          <w:b w:val="false"/>
          <w:i w:val="false"/>
          <w:caps w:val="false"/>
          <w:smallCaps w:val="false"/>
          <w:sz w:val="20"/>
        </w:rPr>
        <w:t>, dated the date of the Placement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Legal Opinion</w:t>
      </w:r>
      <w:r>
        <w:rPr>
          <w:rFonts w:ascii="Times New Roman;Times;Serif" w:hAnsi="Times New Roman;Times;Serif"/>
          <w:b w:val="false"/>
          <w:i w:val="false"/>
          <w:caps w:val="false"/>
          <w:smallCaps w:val="false"/>
          <w:sz w:val="20"/>
        </w:rPr>
        <w:t>. On or prior to the date of the first Placement Notice given hereunder the Company shall cause to be furnished to the Agent a written opinion and a negative assurance letter of Kirkland &amp; Ellis International LLP (“</w:t>
      </w:r>
      <w:r>
        <w:rPr>
          <w:rFonts w:ascii="Times New Roman;Times;Serif" w:hAnsi="Times New Roman;Times;Serif"/>
          <w:b w:val="false"/>
          <w:i w:val="false"/>
          <w:caps w:val="false"/>
          <w:smallCaps w:val="false"/>
          <w:sz w:val="20"/>
          <w:u w:val="single"/>
        </w:rPr>
        <w:t>Company Counsel</w:t>
      </w:r>
      <w:r>
        <w:rPr>
          <w:rFonts w:ascii="Times New Roman;Times;Serif" w:hAnsi="Times New Roman;Times;Serif"/>
          <w:b w:val="false"/>
          <w:i w:val="false"/>
          <w:caps w:val="false"/>
          <w:smallCaps w:val="false"/>
          <w:sz w:val="20"/>
        </w:rPr>
        <w:t>”), counsel to the Company as to certain matters of U.S. law and a written opinion of Maples and Calder (Hong Kong) LLP, counsel to the Company as to certain matters of Cayman Islands law ( “</w:t>
      </w:r>
      <w:r>
        <w:rPr>
          <w:rFonts w:ascii="Times New Roman;Times;Serif" w:hAnsi="Times New Roman;Times;Serif"/>
          <w:b w:val="false"/>
          <w:i w:val="false"/>
          <w:caps w:val="false"/>
          <w:smallCaps w:val="false"/>
          <w:sz w:val="20"/>
          <w:u w:val="single"/>
        </w:rPr>
        <w:t>Company Cayman Islands Counsel</w:t>
      </w:r>
      <w:r>
        <w:rPr>
          <w:rFonts w:ascii="Times New Roman;Times;Serif" w:hAnsi="Times New Roman;Times;Serif"/>
          <w:b w:val="false"/>
          <w:i w:val="false"/>
          <w:caps w:val="false"/>
          <w:smallCaps w:val="false"/>
          <w:sz w:val="20"/>
        </w:rPr>
        <w:t>”), each in form and substance reasonably satisfactory to the Agent. Thereafter, within five (5) Business Days of each Representation Date with respect to which the Company is obligated to deliver a certificate in the form attached hereto as Exhibit 7(l), the Company shall cause to be furnished to the Agent a negative assurance letter of Company Counsel in form and substance reasonably satisfactory to the Agent; provided that, in lieu of such negative assurance for subsequent periodic filings under the Exchange Act, counsel may furnish the Agent with a letter (a “</w:t>
      </w:r>
      <w:r>
        <w:rPr>
          <w:rFonts w:ascii="Times New Roman;Times;Serif" w:hAnsi="Times New Roman;Times;Serif"/>
          <w:b w:val="false"/>
          <w:i w:val="false"/>
          <w:caps w:val="false"/>
          <w:smallCaps w:val="false"/>
          <w:sz w:val="20"/>
          <w:u w:val="single"/>
        </w:rPr>
        <w:t>Reliance Letter</w:t>
      </w:r>
      <w:r>
        <w:rPr>
          <w:rFonts w:ascii="Times New Roman;Times;Serif" w:hAnsi="Times New Roman;Times;Serif"/>
          <w:b w:val="false"/>
          <w:i w:val="false"/>
          <w:caps w:val="false"/>
          <w:smallCaps w:val="false"/>
          <w:sz w:val="20"/>
        </w:rPr>
        <w:t>”) to the effect that the Agent may rely on the negative assurance letter previously delivered under this Section 7(m) to the same extent as if it were dated the date of such letter (except that statements in such prior letter shall be deemed to relate to the Registration Statement and the Prospectus as amended or supplemented as of the date of the Reliance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On or prior to the date of the first Placement Notice given hereunder and within five (5) Business Days after each subsequent Representation Date, other than pursuant to Section 7(l)(iii), the Company shall cause its independent accountants to furnish the Agent letters (the “</w:t>
      </w:r>
      <w:r>
        <w:rPr>
          <w:rFonts w:ascii="Times New Roman;Times;Serif" w:hAnsi="Times New Roman;Times;Serif"/>
          <w:b w:val="false"/>
          <w:i w:val="false"/>
          <w:caps w:val="false"/>
          <w:smallCaps w:val="false"/>
          <w:sz w:val="20"/>
          <w:u w:val="single"/>
        </w:rPr>
        <w:t>Comfort Letters</w:t>
      </w:r>
      <w:r>
        <w:rPr>
          <w:rFonts w:ascii="Times New Roman;Times;Serif" w:hAnsi="Times New Roman;Times;Serif"/>
          <w:b w:val="false"/>
          <w:i w:val="false"/>
          <w:caps w:val="false"/>
          <w:smallCaps w:val="false"/>
          <w:sz w:val="20"/>
        </w:rPr>
        <w:t xml:space="preserve">”), dated the date the Comfort Letter is delivered, which shall meet the requirements set forth in this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The Comfort Letter from the Company’s independent accountants shall be in a form and substance reasonably satisfactory to the Agent, (i) confirming that they are an independent public accounting firm within the meaning of the Securities Act and the Public Company Accounting Oversight Board (the “</w:t>
      </w:r>
      <w:r>
        <w:rPr>
          <w:rFonts w:ascii="Times New Roman;Times;Serif" w:hAnsi="Times New Roman;Times;Serif"/>
          <w:b w:val="false"/>
          <w:i w:val="false"/>
          <w:caps w:val="false"/>
          <w:smallCaps w:val="false"/>
          <w:sz w:val="20"/>
          <w:u w:val="single"/>
        </w:rPr>
        <w:t>PCAOB</w:t>
      </w:r>
      <w:r>
        <w:rPr>
          <w:rFonts w:ascii="Times New Roman;Times;Serif" w:hAnsi="Times New Roman;Times;Serif"/>
          <w:b w:val="false"/>
          <w:i w:val="false"/>
          <w:caps w:val="false"/>
          <w:smallCaps w:val="false"/>
          <w:sz w:val="20"/>
        </w:rPr>
        <w:t>”),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Times;Serif" w:hAnsi="Times New Roman;Times;Serif"/>
          <w:b w:val="false"/>
          <w:i w:val="false"/>
          <w:caps w:val="false"/>
          <w:smallCaps w:val="false"/>
          <w:sz w:val="20"/>
          <w:u w:val="single"/>
        </w:rPr>
        <w:t>Initial Comfort Letter</w:t>
      </w:r>
      <w:r>
        <w:rPr>
          <w:rFonts w:ascii="Times New Roman;Times;Serif" w:hAnsi="Times New Roman;Times;Serif"/>
          <w:b w:val="false"/>
          <w:i w:val="false"/>
          <w:caps w:val="false"/>
          <w:smallCaps w:val="false"/>
          <w:sz w:val="20"/>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Depositary Opinion</w:t>
      </w:r>
      <w:r>
        <w:rPr>
          <w:rFonts w:ascii="Times New Roman;Times;Serif" w:hAnsi="Times New Roman;Times;Serif"/>
          <w:b w:val="false"/>
          <w:i w:val="false"/>
          <w:caps w:val="false"/>
          <w:smallCaps w:val="false"/>
          <w:sz w:val="20"/>
        </w:rPr>
        <w:t>. Counsel for the Depositary shall have furnished to the Agent their opinion dated as of the Closing Date and addressed to the Agent, in form and substance reasonably satisfactory to the Agent and its counsel, relating to the Placement ADS</w:t>
      </w:r>
      <w:r>
        <w:rPr>
          <w:rFonts w:ascii="Times New Roman;Times;Serif" w:hAnsi="Times New Roman;Times;Serif"/>
          <w:b/>
          <w:i/>
          <w:caps w:val="false"/>
          <w:smallCaps w:val="false"/>
          <w:sz w:val="20"/>
        </w:rPr>
        <w: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Market Activities</w:t>
      </w:r>
      <w:r>
        <w:rPr>
          <w:rFonts w:ascii="Times New Roman;Times;Serif" w:hAnsi="Times New Roman;Times;Serif"/>
          <w:b w:val="false"/>
          <w:i w:val="false"/>
          <w:caps w:val="false"/>
          <w:smallCaps w:val="false"/>
          <w:sz w:val="20"/>
        </w:rPr>
        <w:t>. The Company will not, directly or indirectly, (i) take any action designed to cause or result in, or that constitutes or would constitute, the stabilization or manipulation of the price of any security of the Company to facilitate the sale or resale of Ordinary Shares or ADSs or (ii) sell, bid for, or purchase Ordinary Shares or ADSs in violation of Regulation M, or pay anyone any compensation for soliciting purchases of the Placement ADSs other than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will conduct its affairs in such a manner so as to reasonably ensure that it will not be or become, at any time prior to the termination of this Agreement, an “investment company,” as such term is defined in the Investment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No Offer to Sell</w:t>
      </w:r>
      <w:r>
        <w:rPr>
          <w:rFonts w:ascii="Times New Roman;Times;Serif" w:hAnsi="Times New Roman;Times;Serif"/>
          <w:b w:val="false"/>
          <w:i w:val="false"/>
          <w:caps w:val="false"/>
          <w:smallCaps w:val="false"/>
          <w:sz w:val="20"/>
        </w:rPr>
        <w:t xml:space="preserve">. Other than an Issuer Free Writing Prospectus approved in advance by the Company and the Agent in its capacity as agent hereunder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neither of the Agent nor the Company (including its agents and representatives, other than the Agent in its capacity as such) will make, use, prepare, authorize, approve or refer to any written communication (as defined in Rule 405), required to be filed with the Commission, that constitutes an offer to sell or solicitation of an offer to buy Placement ADSs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will maintain disclosure controls and procedures that comply with the requirements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Reservation of Ordinary Shares</w:t>
      </w:r>
      <w:r>
        <w:rPr>
          <w:rFonts w:ascii="Times New Roman;Times;Serif" w:hAnsi="Times New Roman;Times;Serif"/>
          <w:b w:val="false"/>
          <w:i w:val="false"/>
          <w:caps w:val="false"/>
          <w:smallCaps w:val="false"/>
          <w:sz w:val="20"/>
        </w:rPr>
        <w:t>. The Company shall ensure that there are at all times sufficient Ordinary Shares to provide for the issuance, free of any preemptive rights, out of its authorized but unissued Ordinary Shares or Ordinary Shares held in treasury, of the maximum aggregate number of Ordinary Shares underlying the ADSs that may be sold pursuant to the terms of this Agreement. The Company will use its commercially reasonable efforts to maintain the listing of the ADSs on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Representations and Covenants of the Agent</w:t>
      </w:r>
      <w:r>
        <w:rPr>
          <w:rFonts w:ascii="Times New Roman;Times;Serif" w:hAnsi="Times New Roman;Times;Serif"/>
          <w:b w:val="false"/>
          <w:i w:val="false"/>
          <w:caps w:val="false"/>
          <w:smallCaps w:val="false"/>
          <w:sz w:val="20"/>
        </w:rPr>
        <w:t>. The Agent represents and warrants that it is duly registered as a broker-dealer under FINRA, the Exchange Act and the applicable statutes and regulations of each state in which the Placement ADSs will be offered and sold, except such states in which the Agent is exempt from registration or such registration is not otherwise required. The Agent shall continue, for the term of this Agreement, to be duly registered as a broker-dealer under FINRA, the Exchange Act and the applicable statutes and regulations of each state in which the Placement ADSs will be offered and sold, except such states in which it is exempt from registration or such registration is not otherwise required, during the term of this Agreement. The Agent shall comply with all applicable law and regulations in connection with the transactions contemplated by this Agreement, including the issuance and sale through the Agent of the Placement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 The Company will pay all expenses incident to the performance of its obligations under this Agreement, including (i) the preparation, filing, including any fees required by the Commission, and printing of the Registration Statement (including financial statements and exhibits) as originally filed and of each amendment and supplement thereto and each Free Writing Prospectus, in such number as the Agent shall deem reasonably necessary, (ii) the printing and delivery to the Agent of this Agreement and such other documents as may be required in connection with the offering, purchase, sale, issuance or delivery of the Placement ADSs, (iii) the preparation, issuance and delivery of the certificates, if any, for the Placement ADSs to the Agent, including any stock or other transfer taxes and any capital duties, stamp duties or other duties or taxes payable upon the sale, issuance or delivery of the Placement ADSs to the Agent, (iv) the fees and disbursements of the counsel, accountants and other advisors to the Company, (v) the reasonable and documented out-of-pocket fees and disbursements of counsel to the Agent (x)  not to exceed $100,000 in connection with the filing of this Agreement and (y) not to exceed $10,000 per year thereafter in connection with updates at the time of Representation Dates; (vi) the fees and expenses of the transfer agent, depositary, registrar and custodian for the Placement ADSs, (vii) the filing fees incident to any review by FINRA of the terms of the sale of the Placement ADSs, and (viii) the fees and expenses incurred in connection with the listing of the Placement ADSs on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Conditions to the Agent’s Obligations</w:t>
      </w:r>
      <w:r>
        <w:rPr>
          <w:rFonts w:ascii="Times New Roman;Times;Serif" w:hAnsi="Times New Roman;Times;Serif"/>
          <w:b w:val="false"/>
          <w:i w:val="false"/>
          <w:caps w:val="false"/>
          <w:smallCaps w:val="false"/>
          <w:sz w:val="20"/>
        </w:rPr>
        <w:t>. The obligations of the Agent hereunder with respect to a Placement will be subject to the continuing accuracy and completeness of the representations and warranties made by the Company herein (other than those representations and warranties made as of a specified date or time), to the due performance in all material respects by the Company of its obligations hereunder, to the completion by the Agent of a due diligence review satisfactory to it in its reasonable judgment, and to the continuing reasonable satisfaction (or waiver by the Agent in its sole discretion) of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Registration Statement Effective</w:t>
      </w:r>
      <w:r>
        <w:rPr>
          <w:rFonts w:ascii="Times New Roman;Times;Serif" w:hAnsi="Times New Roman;Times;Serif"/>
          <w:b w:val="false"/>
          <w:i w:val="false"/>
          <w:caps w:val="false"/>
          <w:smallCaps w:val="false"/>
          <w:sz w:val="20"/>
        </w:rPr>
        <w:t>. The Registration Statement shall remain effective and shall be available for the sale of all Placement ADSs contemplated to be issued by any Placement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Material Notices</w:t>
      </w:r>
      <w:r>
        <w:rPr>
          <w:rFonts w:ascii="Times New Roman;Times;Serif" w:hAnsi="Times New Roman;Times;Serif"/>
          <w:b w:val="false"/>
          <w:i w:val="false"/>
          <w:caps w:val="false"/>
          <w:smallCaps w:val="false"/>
          <w:sz w:val="20"/>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receipt by the Company of notification of the initiation of any proceedings for that purpose; (iii) receipt by the Company of any notification with respect to the suspension of the qualification or exemption from qualification of any of the Placement ADSs for sale in any jurisdiction or receipt by the Company of notification of the initiation of, or a threat to initiate, any proceeding for such purpose; or (iv) the occurrence of any event that makes any material statement made in the Registration Statement or the Prospectus or any material Incorporated Document untrue in any material respect or that requires the making of any changes in the Registration Statement, the Prospectus or any material Incorporated Document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or any material Incorporated Document, it will not contain any materially untrue statement of a material fact or omit to state any material fact required to be stated therein or necessary to make the statements therein, in the light of the circumstances under which they were made, not misleading. At each Settlement Date, the Registration Statement and the Prospectus, as of such date, will conform in all material respects with the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Misstatement or Material Omission</w:t>
      </w:r>
      <w:r>
        <w:rPr>
          <w:rFonts w:ascii="Times New Roman;Times;Serif" w:hAnsi="Times New Roman;Times;Serif"/>
          <w:b w:val="false"/>
          <w:i w:val="false"/>
          <w:caps w:val="false"/>
          <w:smallCaps w:val="false"/>
          <w:sz w:val="20"/>
        </w:rPr>
        <w:t>. The Agent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Material Changes</w:t>
      </w:r>
      <w:r>
        <w:rPr>
          <w:rFonts w:ascii="Times New Roman;Times;Serif" w:hAnsi="Times New Roman;Times;Serif"/>
          <w:b w:val="false"/>
          <w:i w:val="false"/>
          <w:caps w:val="false"/>
          <w:smallCaps w:val="false"/>
          <w:sz w:val="20"/>
        </w:rPr>
        <w:t>. Except as contemplated in the Prospectus, or disclosed in the Company’s reports filed with the Commission, there shall not have been any Material Adverse Effect, or any development that would cause a Material Adverse Effect, or a downgrading in or withdrawal of the rating assigned to any of the Company’s securities (other than asset backed securities) by any “nationally recognized statistical rating organization,” as such term is defined by the Commission for purposes of Rule 436(g)(2) under the Securities Act (a “</w:t>
      </w:r>
      <w:r>
        <w:rPr>
          <w:rFonts w:ascii="Times New Roman;Times;Serif" w:hAnsi="Times New Roman;Times;Serif"/>
          <w:b w:val="false"/>
          <w:i w:val="false"/>
          <w:caps w:val="false"/>
          <w:smallCaps w:val="false"/>
          <w:sz w:val="20"/>
          <w:u w:val="single"/>
        </w:rPr>
        <w:t>Rating Organization</w:t>
      </w:r>
      <w:r>
        <w:rPr>
          <w:rFonts w:ascii="Times New Roman;Times;Serif" w:hAnsi="Times New Roman;Times;Serif"/>
          <w:b w:val="false"/>
          <w:i w:val="false"/>
          <w:caps w:val="false"/>
          <w:smallCaps w:val="false"/>
          <w:sz w:val="20"/>
        </w:rPr>
        <w:t>”),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 (without relieving the Company of any obligation or liability it may otherwise have), is so material as to make it impracticable or inadvisable to proceed with the offering of the Placement ADSs on the terms and in the manner contemplated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Company Counsel Legal Opinions</w:t>
      </w:r>
      <w:r>
        <w:rPr>
          <w:rFonts w:ascii="Times New Roman;Times;Serif" w:hAnsi="Times New Roman;Times;Serif"/>
          <w:b w:val="false"/>
          <w:i w:val="false"/>
          <w:caps w:val="false"/>
          <w:smallCaps w:val="false"/>
          <w:sz w:val="20"/>
        </w:rPr>
        <w:t xml:space="preserve">. The Agent shall have received the opinion and negative assurance letter of Company Counsel and the opinion of Company Cayman Islands Counsel required to be delivered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xml:space="preserve">, on or before the date on which such delivery of such opinion and negative assurance letter are required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Agent Counsel Legal Opinion</w:t>
      </w:r>
      <w:r>
        <w:rPr>
          <w:rFonts w:ascii="Times New Roman;Times;Serif" w:hAnsi="Times New Roman;Times;Serif"/>
          <w:b w:val="false"/>
          <w:i w:val="false"/>
          <w:caps w:val="false"/>
          <w:smallCaps w:val="false"/>
          <w:sz w:val="20"/>
        </w:rPr>
        <w:t xml:space="preserve">. Agent shall have received from Duane Morris LLP, counsel for the Agent, such opinion or opinions, on or before the date on which the delivery of the Company Counsel legal opinion is required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with respect to such matters as the Agent may reasonably require, and the Company shall have furnished to such counsel such documents as they request for enabling them to pass upon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xml:space="preserve">. The Agent shall have received the Comfort Letter required to be delivered pursuant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xml:space="preserve"> on or before the date on which such delivery of such letter is required pursuant to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Representation Certificate</w:t>
      </w:r>
      <w:r>
        <w:rPr>
          <w:rFonts w:ascii="Times New Roman;Times;Serif" w:hAnsi="Times New Roman;Times;Serif"/>
          <w:b w:val="false"/>
          <w:i w:val="false"/>
          <w:caps w:val="false"/>
          <w:smallCaps w:val="false"/>
          <w:sz w:val="20"/>
        </w:rPr>
        <w:t xml:space="preserve">. The Agent shall have received the certificate required to be delivered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on or before the date on which delivery of such certificate is required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 On or prior to the first Representation Date, the Agent shall have received a certificate, signed on behalf of the Company by its corporate Secretary, in form and substance satisfactory to the Agent and its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Depositary Opinion</w:t>
      </w:r>
      <w:r>
        <w:rPr>
          <w:rFonts w:ascii="Times New Roman;Times;Serif" w:hAnsi="Times New Roman;Times;Serif"/>
          <w:b w:val="false"/>
          <w:i w:val="false"/>
          <w:caps w:val="false"/>
          <w:smallCaps w:val="false"/>
          <w:sz w:val="20"/>
        </w:rPr>
        <w:t xml:space="preserve">. The Agent shall have received the opinion required to be delivered pursuant to </w:t>
      </w:r>
      <w:r>
        <w:rPr>
          <w:rFonts w:ascii="Times New Roman;Times;Serif" w:hAnsi="Times New Roman;Times;Serif"/>
          <w:b w:val="false"/>
          <w:i w:val="false"/>
          <w:caps w:val="false"/>
          <w:smallCaps w:val="false"/>
          <w:sz w:val="20"/>
          <w:u w:val="single"/>
        </w:rPr>
        <w:t>Section 7(o)</w:t>
      </w:r>
      <w:r>
        <w:rPr>
          <w:rFonts w:ascii="Times New Roman;Times;Serif" w:hAnsi="Times New Roman;Times;Serif"/>
          <w:b w:val="false"/>
          <w:i w:val="false"/>
          <w:caps w:val="false"/>
          <w:smallCaps w:val="false"/>
          <w:sz w:val="20"/>
        </w:rPr>
        <w:t xml:space="preserve"> on or before the date on which such delivery of such opinion is required pursuant to </w:t>
      </w:r>
      <w:r>
        <w:rPr>
          <w:rFonts w:ascii="Times New Roman;Times;Serif" w:hAnsi="Times New Roman;Times;Serif"/>
          <w:b w:val="false"/>
          <w:i w:val="false"/>
          <w:caps w:val="false"/>
          <w:smallCaps w:val="false"/>
          <w:sz w:val="20"/>
          <w:u w:val="single"/>
        </w:rPr>
        <w:t>Section 7(o)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No Suspension</w:t>
      </w:r>
      <w:r>
        <w:rPr>
          <w:rFonts w:ascii="Times New Roman;Times;Serif" w:hAnsi="Times New Roman;Times;Serif"/>
          <w:b w:val="false"/>
          <w:i w:val="false"/>
          <w:caps w:val="false"/>
          <w:smallCaps w:val="false"/>
          <w:sz w:val="20"/>
        </w:rPr>
        <w:t>. Trading in the ADSs shall not have been suspended on the Exchange and the ADSs shall not have been delisted from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Other Materials</w:t>
      </w:r>
      <w:r>
        <w:rPr>
          <w:rFonts w:ascii="Times New Roman;Times;Serif" w:hAnsi="Times New Roman;Times;Serif"/>
          <w:b w:val="false"/>
          <w:i w:val="false"/>
          <w:caps w:val="false"/>
          <w:smallCaps w:val="false"/>
          <w:sz w:val="20"/>
        </w:rPr>
        <w:t xml:space="preserve">. On each date on which the Company is required to deliver a certificate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the Company shall have furnished to the Agent such appropriate further information, certificates and documents as the Agent may reasonably request and which are usually and customarily furnished by an issuer of securities in connection with a securities offering of the type contemplated hereby. All such opinions, certificates, letters and other documents will be in compliance with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Securities Act Filings Made</w:t>
      </w:r>
      <w:r>
        <w:rPr>
          <w:rFonts w:ascii="Times New Roman;Times;Serif" w:hAnsi="Times New Roman;Times;Serif"/>
          <w:b w:val="false"/>
          <w:i w:val="false"/>
          <w:caps w:val="false"/>
          <w:smallCaps w:val="false"/>
          <w:sz w:val="20"/>
        </w:rPr>
        <w:t>. All filings with the Commission required by Rule 424 under the Securities Act to have been filed prior to the issuance of any Placement Notice hereunder shall have been made within the applicable time period prescribed for such filing by Rule 424.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Approval for Listing</w:t>
      </w:r>
      <w:r>
        <w:rPr>
          <w:rFonts w:ascii="Times New Roman;Times;Serif" w:hAnsi="Times New Roman;Times;Serif"/>
          <w:b w:val="false"/>
          <w:i w:val="false"/>
          <w:caps w:val="false"/>
          <w:smallCaps w:val="false"/>
          <w:sz w:val="20"/>
        </w:rPr>
        <w:t>. The Placement ADSs shall either have been approved for listing on the Exchange, subject only to notice of issuance, or the Company shall have filed an application for listing of the Placement ADSs on the Exchange at, or prior to, the issuance of any Placement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No Termination Event</w:t>
      </w:r>
      <w:r>
        <w:rPr>
          <w:rFonts w:ascii="Times New Roman;Times;Serif" w:hAnsi="Times New Roman;Times;Serif"/>
          <w:b w:val="false"/>
          <w:i w:val="false"/>
          <w:caps w:val="false"/>
          <w:smallCaps w:val="false"/>
          <w:sz w:val="20"/>
        </w:rPr>
        <w:t xml:space="preserve">. There shall not have occurred any event that would permit the Agent to terminate this Agreement pursuant to </w:t>
      </w:r>
      <w:r>
        <w:rPr>
          <w:rFonts w:ascii="Times New Roman;Times;Serif" w:hAnsi="Times New Roman;Times;Serif"/>
          <w:b w:val="false"/>
          <w:i w:val="false"/>
          <w:caps w:val="false"/>
          <w:smallCaps w:val="false"/>
          <w:sz w:val="20"/>
          <w:u w:val="single"/>
        </w:rPr>
        <w:t>Section 13(a)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Company Indemnification</w:t>
      </w:r>
      <w:r>
        <w:rPr>
          <w:rFonts w:ascii="Times New Roman;Times;Serif" w:hAnsi="Times New Roman;Times;Serif"/>
          <w:b w:val="false"/>
          <w:i w:val="false"/>
          <w:caps w:val="false"/>
          <w:smallCaps w:val="false"/>
          <w:sz w:val="20"/>
        </w:rPr>
        <w:t>. The Company agrees to indemnify and hold harmless the Agent, its partners, members, directors, officers, employees and agents and each person, if any, who controls the Agent within the meaning of Section 15 of the Securities Act or Section 20 of the Exchange Act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against any and all loss, liability, claim, damage and expense whatsoever, as incurred, joint or several,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below) any such settlement is effected with the written consent of the Company, which consent shall not unreasonably be delayed or withheld;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against any and all expense whatsoever, as incurred (including the reasonable disbursements of counsel),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this indemnity agreement shall not apply to any loss, liability, claim, damage or expense to the extent arising out of any untrue statement or omission or alleged untrue statement or omission made solely in reliance upon and in conformity with written information furnished to the Company by the Agent expressly for use in the Registration Statement (or any amendment thereto), or in any related Issuer Free Writing Prospectus or the Prospectus (or any amendment or supplement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Indemnification by the Agent</w:t>
      </w:r>
      <w:r>
        <w:rPr>
          <w:rFonts w:ascii="Times New Roman;Times;Serif" w:hAnsi="Times New Roman;Times;Serif"/>
          <w:b w:val="false"/>
          <w:i w:val="false"/>
          <w:caps w:val="false"/>
          <w:smallCaps w:val="false"/>
          <w:sz w:val="20"/>
        </w:rPr>
        <w:t xml:space="preserve">. The Agent agrees to indemnify and hold harmless the Company and its directors and officers,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as incurred, but only with respect to untrue statements or omissions, or alleged untrue statements or omissions, made in the Registration Statement (or any amendments thereto) or in any related Issuer Free Writing Prospectus or the Prospectus (or any amendment or supplement thereto) in reliance upon and in conformity with information relating to the Agent and furnished to the Company in writing by the Agent expressly for use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 xml:space="preserve">. Any party that proposes to assert the right to be indemnified under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will, promptly after receipt of notice of commencement of any action against such party in respect of which a claim is to be made against an indemnifying party or parties under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and (ii) any liability that it may have to any indemnified party under the foregoing provisions of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of interest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out-of-pocket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out-of-pocket fees, disbursements and other charges of more than one separate firm admitted to practice in such jurisdiction at any one time for all such indemnified party or parties. All such reasonable and documented out-of-pocket fees, disbursements and other charges will be reimbursed by the indemnifying party promptly after the indemnifying party receives a written invoice relating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(whether or not any indemnified party is a party thereto), unless such settlement, compromise or consent (1) includes an unconditional release of each indemnified party from all liability arising out of such litigation, investigation, proceeding or claim and (2) does not include a statement as to or an admission of fault, culpability or a failure to act by or on behalf of any indemnified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xml:space="preserve">. In order to provide for just and equitable contribution in circumstances in which the indemnification provided for in the foregoing paragraphs of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is applicable in accordance with its terms but for any reason is held to be unavailable from the Company or the Agent, the Company and the Agent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the Agent, such as persons who control the Company within the meaning of the Securities Act or the Exchange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ADSs (before deducting expenses) received by the Company bear to the total compensation received by the Agent (before deducting expenses) from the sale of Placement ADSs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shall be deemed to include, for the purpose of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any legal or other expenses reasonably incurred by such indemnified party in connection with investigating or defending any such action or claim to the extent consistent with </w:t>
      </w:r>
      <w:r>
        <w:rPr>
          <w:rFonts w:ascii="Times New Roman;Times;Serif" w:hAnsi="Times New Roman;Times;Serif"/>
          <w:b w:val="false"/>
          <w:i w:val="false"/>
          <w:caps w:val="false"/>
          <w:smallCaps w:val="false"/>
          <w:sz w:val="20"/>
          <w:u w:val="single"/>
        </w:rPr>
        <w:t>Section 11(c)</w:t>
      </w:r>
      <w:r>
        <w:rPr>
          <w:rFonts w:ascii="Times New Roman;Times;Serif" w:hAnsi="Times New Roman;Times;Serif"/>
          <w:b w:val="false"/>
          <w:i w:val="false"/>
          <w:caps w:val="false"/>
          <w:smallCaps w:val="false"/>
          <w:sz w:val="20"/>
        </w:rPr>
        <w:t xml:space="preserve"> hereof. Notwithstanding the foregoing provisions of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any person who controls a party to this Agreement within the meaning of the Securities Act or the Exchange Act, and any officers, directors, partners, employees or agents of the Agent, will have the same rights to contribution as that party, and each officer who signed the Registration Statement and director of the Company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Times;Serif" w:hAnsi="Times New Roman;Times;Serif"/>
          <w:b w:val="false"/>
          <w:i w:val="false"/>
          <w:caps w:val="false"/>
          <w:smallCaps w:val="false"/>
          <w:sz w:val="20"/>
          <w:u w:val="single"/>
        </w:rPr>
        <w:t>Section 11(c)</w:t>
      </w:r>
      <w:r>
        <w:rPr>
          <w:rFonts w:ascii="Times New Roman;Times;Serif" w:hAnsi="Times New Roman;Times;Serif"/>
          <w:b w:val="false"/>
          <w:i w:val="false"/>
          <w:caps w:val="false"/>
          <w:smallCaps w:val="false"/>
          <w:sz w:val="20"/>
        </w:rPr>
        <w:t xml:space="preserve"> hereof, no party will be liable for contribution with respect to any action or claim settled without its written consent if such consent is required pursuant to </w:t>
      </w:r>
      <w:r>
        <w:rPr>
          <w:rFonts w:ascii="Times New Roman;Times;Serif" w:hAnsi="Times New Roman;Times;Serif"/>
          <w:b w:val="false"/>
          <w:i w:val="false"/>
          <w:caps w:val="false"/>
          <w:smallCaps w:val="false"/>
          <w:sz w:val="20"/>
          <w:u w:val="single"/>
        </w:rPr>
        <w:t>Section 11(c)</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Representations and Agreements to Survive Delivery</w:t>
      </w:r>
      <w:r>
        <w:rPr>
          <w:rFonts w:ascii="Times New Roman;Times;Serif" w:hAnsi="Times New Roman;Times;Serif"/>
          <w:b w:val="false"/>
          <w:i w:val="false"/>
          <w:caps w:val="false"/>
          <w:smallCaps w:val="false"/>
          <w:sz w:val="20"/>
        </w:rPr>
        <w:t>. The indemnity and contribution agreements contained in Section 11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or controlling persons), (ii) delivery and acceptance of the Placement ADSs and payment therefor or (iii) any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Agent may terminate this Agreement, by notice to the Company, as hereinafter specified at any time (1) if there has been, since the time of execution of this Agreement or since the date as of which information is given in the Prospectus, any Material Adverse Effect, or any development that would have a Material Adverse Effect that, in the judgment of the Agent, is material and adverse and makes it impractical or inadvisable to market the Placement ADSs or to enforce contracts for the sale of the Placement ADSs,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 impracticable or inadvisable to market the Placement ADSs or to enforce contracts for the sale of the Placement ADSs, (3) if trading in the Ordinary Shares or ADSs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9 (Payment of Expenses),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(Indemnification and Contribution),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(Representations and Agreements to Survive Delivery),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(Governing Law and Time; Waiver of Jury Trial)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(Consent to Jurisdiction) hereof shall remain in full force and effect notwithstanding such termination. If the Agent elects to terminate this Agreement as provided in this Section 13(a), the Agent shall provide the required notice as specified in Section 14 (Notices).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shall have the right, by giving five (5)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(Payment of Expenses),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(Indemnification and Contribution),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(Representations and Agreements to Survive Delivery),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(Governing Law and Time; Waiver of Jury Trial)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(Consent to Jurisdiction) hereof shall remain in full force and effect notwithstanding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Agent shall have the right, by giving five (5)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(Payment of Expenses),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(Indemnification and Contribution),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(Representations and Agreements to Survive Delivery),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(Governing Law and Time; Waiver of Jury Trial)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(Consent to Jurisdiction) hereof shall remain in full force and effect notwithstanding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Unless earlier terminated pursuant to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this Agreement shall automatically terminate upon the issuance and sale of all of the Placement ADSs through the Agent on the terms and subject to the conditions set forth herein except that the provisions of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(Payment of Expenses),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(Indemnification and Contribution),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(Representations and Agreements to Survive Delivery),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(Governing Law and Time; Waiver of Jury Trial)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(Consent to Jurisdiction) hereof shall remain in full force and effect notwithstanding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This Agreement shall remain in full force and effect unless terminated pursuant to </w:t>
      </w:r>
      <w:r>
        <w:rPr>
          <w:rFonts w:ascii="Times New Roman;Times;Serif" w:hAnsi="Times New Roman;Times;Serif"/>
          <w:b w:val="false"/>
          <w:i w:val="false"/>
          <w:caps w:val="false"/>
          <w:smallCaps w:val="false"/>
          <w:sz w:val="20"/>
          <w:u w:val="single"/>
        </w:rPr>
        <w:t>Sections 13(a)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above or otherwise by mutual agreement of the parties;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any such termination by mutual agreement shall in all cases be deemed to provide that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(Payment of Expenses),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(Indemnification and Contribution),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(Representations and Agreements to Survive Delivery),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(Governing Law and Time; Waiver of Jury Trial)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(Consent to Jurisdiction) shall remain in full force and effect. Upon termination of this Agreement, the Company shall not have any liability to the Agent for any discount, commission or other compensation with respect to any Placement ADSs not otherwise sold by the Agent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termination of this Agreement shall be effective on the date specified in such notice of termination;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such termination shall not be effective until the close of business on the date of receipt of such notice by the Agent or the Company, as the case may be. If such termination shall occur prior to the Settlement Date for any sale of Placement ADSs, such Placement ADSs shall settle in accordance with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required or permitted to be given by any party to any other party pursuant to the terms of this Agreement shall be in writing, unless otherwise specified, and if sent to the Agent, shall be delivered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Riley Securities, Inc.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 Park Avenue, 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10171 </w:t>
      </w:r>
    </w:p>
    <w:tbl>
      <w:tblPr>
        <w:tblW w:w="2973" w:type="dxa"/>
        <w:jc w:val="left"/>
        <w:tblInd w:w="0" w:type="dxa"/>
        <w:tblLayout w:type="fixed"/>
        <w:tblCellMar>
          <w:top w:w="0" w:type="dxa"/>
          <w:left w:w="0" w:type="dxa"/>
          <w:bottom w:w="0" w:type="dxa"/>
          <w:right w:w="0" w:type="dxa"/>
        </w:tblCellMar>
      </w:tblPr>
      <w:tblGrid>
        <w:gridCol w:w="38"/>
        <w:gridCol w:w="95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20"/>
              </w:rPr>
            </w:pPr>
            <w:r>
              <w:rPr>
                <w:sz w:val="20"/>
              </w:rPr>
              <w:t>Attention:</w:t>
            </w:r>
          </w:p>
        </w:tc>
        <w:tc>
          <w:tcPr>
            <w:tcW w:w="1985" w:type="dxa"/>
            <w:tcBorders/>
            <w:vAlign w:val="center"/>
          </w:tcPr>
          <w:p>
            <w:pPr>
              <w:pStyle w:val="TableContents"/>
              <w:bidi w:val="0"/>
              <w:spacing w:before="0" w:after="283"/>
              <w:jc w:val="both"/>
              <w:rPr>
                <w:sz w:val="20"/>
              </w:rPr>
            </w:pPr>
            <w:r>
              <w:rPr>
                <w:sz w:val="20"/>
              </w:rPr>
              <w:t>General Counsel</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20"/>
              </w:rPr>
            </w:pPr>
            <w:r>
              <w:rPr>
                <w:sz w:val="20"/>
              </w:rPr>
              <w:t>Telephone:</w:t>
            </w:r>
          </w:p>
        </w:tc>
        <w:tc>
          <w:tcPr>
            <w:tcW w:w="1985" w:type="dxa"/>
            <w:tcBorders/>
            <w:vAlign w:val="center"/>
          </w:tcPr>
          <w:p>
            <w:pPr>
              <w:pStyle w:val="TableContents"/>
              <w:bidi w:val="0"/>
              <w:spacing w:before="0" w:after="283"/>
              <w:jc w:val="both"/>
              <w:rPr>
                <w:sz w:val="20"/>
              </w:rPr>
            </w:pPr>
            <w:r>
              <w:rPr>
                <w:sz w:val="20"/>
              </w:rPr>
              <w:t>(212) 457-9947</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20"/>
              </w:rPr>
            </w:pPr>
            <w:r>
              <w:rPr>
                <w:sz w:val="20"/>
              </w:rPr>
              <w:t>Email:</w:t>
            </w:r>
          </w:p>
        </w:tc>
        <w:tc>
          <w:tcPr>
            <w:tcW w:w="1985" w:type="dxa"/>
            <w:tcBorders/>
            <w:vAlign w:val="center"/>
          </w:tcPr>
          <w:p>
            <w:pPr>
              <w:pStyle w:val="TableContents"/>
              <w:bidi w:val="0"/>
              <w:spacing w:before="0" w:after="283"/>
              <w:jc w:val="both"/>
              <w:rPr>
                <w:sz w:val="20"/>
              </w:rPr>
            </w:pPr>
            <w:r>
              <w:rPr>
                <w:sz w:val="20"/>
              </w:rPr>
              <w:t>atmdesk@brileyfin.com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Duane Morris LLP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1540 Broadway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10036 </w:t>
      </w:r>
    </w:p>
    <w:tbl>
      <w:tblPr>
        <w:tblW w:w="3138" w:type="dxa"/>
        <w:jc w:val="left"/>
        <w:tblInd w:w="0" w:type="dxa"/>
        <w:tblLayout w:type="fixed"/>
        <w:tblCellMar>
          <w:top w:w="0" w:type="dxa"/>
          <w:left w:w="0" w:type="dxa"/>
          <w:bottom w:w="0" w:type="dxa"/>
          <w:right w:w="0" w:type="dxa"/>
        </w:tblCellMar>
      </w:tblPr>
      <w:tblGrid>
        <w:gridCol w:w="38"/>
        <w:gridCol w:w="950"/>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20"/>
              </w:rPr>
            </w:pPr>
            <w:r>
              <w:rPr>
                <w:sz w:val="20"/>
              </w:rPr>
              <w:t>Attention:</w:t>
            </w:r>
          </w:p>
        </w:tc>
        <w:tc>
          <w:tcPr>
            <w:tcW w:w="2150" w:type="dxa"/>
            <w:tcBorders/>
            <w:vAlign w:val="center"/>
          </w:tcPr>
          <w:p>
            <w:pPr>
              <w:pStyle w:val="TableContents"/>
              <w:bidi w:val="0"/>
              <w:spacing w:before="0" w:after="283"/>
              <w:jc w:val="both"/>
              <w:rPr>
                <w:sz w:val="20"/>
              </w:rPr>
            </w:pPr>
            <w:r>
              <w:rPr>
                <w:sz w:val="20"/>
              </w:rPr>
              <w:t>James T. Seery</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20"/>
              </w:rPr>
            </w:pPr>
            <w:r>
              <w:rPr>
                <w:sz w:val="20"/>
              </w:rPr>
              <w:t>Telephone:</w:t>
            </w:r>
          </w:p>
        </w:tc>
        <w:tc>
          <w:tcPr>
            <w:tcW w:w="2150" w:type="dxa"/>
            <w:tcBorders/>
            <w:vAlign w:val="center"/>
          </w:tcPr>
          <w:p>
            <w:pPr>
              <w:pStyle w:val="TableContents"/>
              <w:bidi w:val="0"/>
              <w:spacing w:before="0" w:after="283"/>
              <w:jc w:val="both"/>
              <w:rPr>
                <w:sz w:val="20"/>
              </w:rPr>
            </w:pPr>
            <w:r>
              <w:rPr>
                <w:sz w:val="20"/>
              </w:rPr>
              <w:t>(973) 424-2088</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20"/>
              </w:rPr>
            </w:pPr>
            <w:r>
              <w:rPr>
                <w:sz w:val="20"/>
              </w:rPr>
              <w:t>Email:</w:t>
            </w:r>
          </w:p>
        </w:tc>
        <w:tc>
          <w:tcPr>
            <w:tcW w:w="2150" w:type="dxa"/>
            <w:tcBorders/>
            <w:vAlign w:val="center"/>
          </w:tcPr>
          <w:p>
            <w:pPr>
              <w:pStyle w:val="TableContents"/>
              <w:bidi w:val="0"/>
              <w:spacing w:before="0" w:after="283"/>
              <w:jc w:val="both"/>
              <w:rPr>
                <w:sz w:val="20"/>
              </w:rPr>
            </w:pPr>
            <w:r>
              <w:rPr>
                <w:sz w:val="20"/>
              </w:rPr>
              <w:t>jtseery@duanemorris.com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to the Company, shall be delivered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Canaan Inc.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Ayer Rajah Crescent</w:t>
        <w:br/>
        <w:t>#06-08</w:t>
        <w:br/>
        <w:t>Singapore 139959</w:t>
      </w:r>
    </w:p>
    <w:tbl>
      <w:tblPr>
        <w:tblW w:w="2283" w:type="dxa"/>
        <w:jc w:val="left"/>
        <w:tblInd w:w="0" w:type="dxa"/>
        <w:tblLayout w:type="fixed"/>
        <w:tblCellMar>
          <w:top w:w="0" w:type="dxa"/>
          <w:left w:w="0" w:type="dxa"/>
          <w:bottom w:w="0" w:type="dxa"/>
          <w:right w:w="0" w:type="dxa"/>
        </w:tblCellMar>
      </w:tblPr>
      <w:tblGrid>
        <w:gridCol w:w="38"/>
        <w:gridCol w:w="860"/>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20"/>
              </w:rPr>
            </w:pPr>
            <w:r>
              <w:rPr>
                <w:sz w:val="20"/>
              </w:rPr>
              <w:t>Attention:</w:t>
            </w:r>
          </w:p>
        </w:tc>
        <w:tc>
          <w:tcPr>
            <w:tcW w:w="1385" w:type="dxa"/>
            <w:tcBorders/>
            <w:vAlign w:val="center"/>
          </w:tcPr>
          <w:p>
            <w:pPr>
              <w:pStyle w:val="TableContents"/>
              <w:bidi w:val="0"/>
              <w:spacing w:before="0" w:after="283"/>
              <w:jc w:val="both"/>
              <w:rPr>
                <w:sz w:val="20"/>
              </w:rPr>
            </w:pPr>
            <w:r>
              <w:rPr>
                <w:sz w:val="20"/>
              </w:rPr>
              <w:t>James Jin Cheng</w:t>
            </w:r>
          </w:p>
        </w:tc>
      </w:tr>
    </w:tbl>
    <w:tbl>
      <w:tblPr>
        <w:tblW w:w="1458" w:type="dxa"/>
        <w:jc w:val="left"/>
        <w:tblInd w:w="0" w:type="dxa"/>
        <w:tblLayout w:type="fixed"/>
        <w:tblCellMar>
          <w:top w:w="0" w:type="dxa"/>
          <w:left w:w="0" w:type="dxa"/>
          <w:bottom w:w="0" w:type="dxa"/>
          <w:right w:w="0" w:type="dxa"/>
        </w:tblCellMar>
      </w:tblPr>
      <w:tblGrid>
        <w:gridCol w:w="38"/>
        <w:gridCol w:w="950"/>
        <w:gridCol w:w="470"/>
      </w:tblGrid>
      <w:tr>
        <w:trPr/>
        <w:tc>
          <w:tcPr>
            <w:tcW w:w="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20"/>
              </w:rPr>
            </w:pPr>
            <w:r>
              <w:rPr>
                <w:sz w:val="20"/>
              </w:rPr>
              <w:t>Telephone:</w:t>
            </w:r>
          </w:p>
        </w:tc>
        <w:tc>
          <w:tcPr>
            <w:tcW w:w="470" w:type="dxa"/>
            <w:tcBorders/>
            <w:vAlign w:val="center"/>
          </w:tcPr>
          <w:p>
            <w:pPr>
              <w:pStyle w:val="TableContents"/>
              <w:bidi w:val="0"/>
              <w:spacing w:before="0" w:after="283"/>
              <w:jc w:val="both"/>
              <w:rPr>
                <w:sz w:val="20"/>
              </w:rPr>
            </w:pPr>
            <w:r>
              <w:rPr>
                <w:sz w:val="20"/>
              </w:rPr>
              <w:t>[***]</w:t>
            </w:r>
          </w:p>
        </w:tc>
      </w:tr>
    </w:tbl>
    <w:tbl>
      <w:tblPr>
        <w:tblW w:w="1068" w:type="dxa"/>
        <w:jc w:val="left"/>
        <w:tblInd w:w="0" w:type="dxa"/>
        <w:tblLayout w:type="fixed"/>
        <w:tblCellMar>
          <w:top w:w="0" w:type="dxa"/>
          <w:left w:w="0" w:type="dxa"/>
          <w:bottom w:w="0" w:type="dxa"/>
          <w:right w:w="0" w:type="dxa"/>
        </w:tblCellMar>
      </w:tblPr>
      <w:tblGrid>
        <w:gridCol w:w="38"/>
        <w:gridCol w:w="560"/>
        <w:gridCol w:w="47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both"/>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Kirkland &amp; Ellis International LLP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58th Floor, China World Tower A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No.1 Jian Guo Men Wai Avenue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Chaoyang District, Beijing, 100004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tbl>
      <w:tblPr>
        <w:tblW w:w="1713" w:type="dxa"/>
        <w:jc w:val="left"/>
        <w:tblInd w:w="0" w:type="dxa"/>
        <w:tblLayout w:type="fixed"/>
        <w:tblCellMar>
          <w:top w:w="0" w:type="dxa"/>
          <w:left w:w="0" w:type="dxa"/>
          <w:bottom w:w="0" w:type="dxa"/>
          <w:right w:w="0" w:type="dxa"/>
        </w:tblCellMar>
      </w:tblPr>
      <w:tblGrid>
        <w:gridCol w:w="38"/>
        <w:gridCol w:w="860"/>
        <w:gridCol w:w="815"/>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20"/>
              </w:rPr>
            </w:pPr>
            <w:r>
              <w:rPr>
                <w:sz w:val="20"/>
              </w:rPr>
              <w:t>Attention:</w:t>
            </w:r>
          </w:p>
        </w:tc>
        <w:tc>
          <w:tcPr>
            <w:tcW w:w="815" w:type="dxa"/>
            <w:tcBorders/>
            <w:vAlign w:val="center"/>
          </w:tcPr>
          <w:p>
            <w:pPr>
              <w:pStyle w:val="TableContents"/>
              <w:bidi w:val="0"/>
              <w:spacing w:before="0" w:after="283"/>
              <w:jc w:val="both"/>
              <w:rPr>
                <w:sz w:val="20"/>
              </w:rPr>
            </w:pPr>
            <w:r>
              <w:rPr>
                <w:sz w:val="20"/>
              </w:rPr>
              <w:t>Steve Lin</w:t>
            </w:r>
          </w:p>
        </w:tc>
      </w:tr>
    </w:tbl>
    <w:tbl>
      <w:tblPr>
        <w:tblW w:w="2478" w:type="dxa"/>
        <w:jc w:val="left"/>
        <w:tblInd w:w="0" w:type="dxa"/>
        <w:tblLayout w:type="fixed"/>
        <w:tblCellMar>
          <w:top w:w="0" w:type="dxa"/>
          <w:left w:w="0" w:type="dxa"/>
          <w:bottom w:w="0" w:type="dxa"/>
          <w:right w:w="0" w:type="dxa"/>
        </w:tblCellMar>
      </w:tblPr>
      <w:tblGrid>
        <w:gridCol w:w="38"/>
        <w:gridCol w:w="950"/>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20"/>
              </w:rPr>
            </w:pPr>
            <w:r>
              <w:rPr>
                <w:sz w:val="20"/>
              </w:rPr>
              <w:t>Telephone:</w:t>
            </w:r>
          </w:p>
        </w:tc>
        <w:tc>
          <w:tcPr>
            <w:tcW w:w="1490" w:type="dxa"/>
            <w:tcBorders/>
            <w:vAlign w:val="center"/>
          </w:tcPr>
          <w:p>
            <w:pPr>
              <w:pStyle w:val="TableContents"/>
              <w:bidi w:val="0"/>
              <w:spacing w:before="0" w:after="283"/>
              <w:jc w:val="both"/>
              <w:rPr>
                <w:sz w:val="20"/>
              </w:rPr>
            </w:pPr>
            <w:r>
              <w:rPr>
                <w:sz w:val="20"/>
              </w:rPr>
              <w:t>+8610 5737 9315</w:t>
            </w:r>
          </w:p>
        </w:tc>
      </w:tr>
    </w:tbl>
    <w:tbl>
      <w:tblPr>
        <w:tblW w:w="2583" w:type="dxa"/>
        <w:jc w:val="left"/>
        <w:tblInd w:w="0" w:type="dxa"/>
        <w:tblLayout w:type="fixed"/>
        <w:tblCellMar>
          <w:top w:w="0" w:type="dxa"/>
          <w:left w:w="0" w:type="dxa"/>
          <w:bottom w:w="0" w:type="dxa"/>
          <w:right w:w="0" w:type="dxa"/>
        </w:tblCellMar>
      </w:tblPr>
      <w:tblGrid>
        <w:gridCol w:w="38"/>
        <w:gridCol w:w="56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20"/>
              </w:rPr>
            </w:pPr>
            <w:r>
              <w:rPr>
                <w:sz w:val="20"/>
              </w:rPr>
              <w:t>Email:</w:t>
            </w:r>
          </w:p>
        </w:tc>
        <w:tc>
          <w:tcPr>
            <w:tcW w:w="1985" w:type="dxa"/>
            <w:tcBorders/>
            <w:vAlign w:val="center"/>
          </w:tcPr>
          <w:p>
            <w:pPr>
              <w:pStyle w:val="TableContents"/>
              <w:bidi w:val="0"/>
              <w:spacing w:before="0" w:after="283"/>
              <w:jc w:val="both"/>
              <w:rPr>
                <w:sz w:val="20"/>
              </w:rPr>
            </w:pPr>
            <w:r>
              <w:rPr>
                <w:sz w:val="20"/>
              </w:rPr>
              <w:t>steve.lin@kirkland.com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26th Floor, Central Plaza, 18 Harbour Road, Wanchai, Hong Kong </w:t>
      </w:r>
    </w:p>
    <w:tbl>
      <w:tblPr>
        <w:tblW w:w="1908" w:type="dxa"/>
        <w:jc w:val="left"/>
        <w:tblInd w:w="0" w:type="dxa"/>
        <w:tblLayout w:type="fixed"/>
        <w:tblCellMar>
          <w:top w:w="0" w:type="dxa"/>
          <w:left w:w="0" w:type="dxa"/>
          <w:bottom w:w="0" w:type="dxa"/>
          <w:right w:w="0" w:type="dxa"/>
        </w:tblCellMar>
      </w:tblPr>
      <w:tblGrid>
        <w:gridCol w:w="38"/>
        <w:gridCol w:w="860"/>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20"/>
              </w:rPr>
            </w:pPr>
            <w:r>
              <w:rPr>
                <w:sz w:val="20"/>
              </w:rPr>
              <w:t>Attention:</w:t>
            </w:r>
          </w:p>
        </w:tc>
        <w:tc>
          <w:tcPr>
            <w:tcW w:w="1010" w:type="dxa"/>
            <w:tcBorders/>
            <w:vAlign w:val="center"/>
          </w:tcPr>
          <w:p>
            <w:pPr>
              <w:pStyle w:val="TableContents"/>
              <w:bidi w:val="0"/>
              <w:spacing w:before="0" w:after="283"/>
              <w:jc w:val="both"/>
              <w:rPr>
                <w:sz w:val="20"/>
              </w:rPr>
            </w:pPr>
            <w:r>
              <w:rPr>
                <w:sz w:val="20"/>
              </w:rPr>
              <w:t>Derrick Kan</w:t>
            </w:r>
          </w:p>
        </w:tc>
      </w:tr>
    </w:tbl>
    <w:tbl>
      <w:tblPr>
        <w:tblW w:w="2373" w:type="dxa"/>
        <w:jc w:val="left"/>
        <w:tblInd w:w="0" w:type="dxa"/>
        <w:tblLayout w:type="fixed"/>
        <w:tblCellMar>
          <w:top w:w="0" w:type="dxa"/>
          <w:left w:w="0" w:type="dxa"/>
          <w:bottom w:w="0" w:type="dxa"/>
          <w:right w:w="0" w:type="dxa"/>
        </w:tblCellMar>
      </w:tblPr>
      <w:tblGrid>
        <w:gridCol w:w="38"/>
        <w:gridCol w:w="950"/>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20"/>
              </w:rPr>
            </w:pPr>
            <w:r>
              <w:rPr>
                <w:sz w:val="20"/>
              </w:rPr>
              <w:t>Telephone:</w:t>
            </w:r>
          </w:p>
        </w:tc>
        <w:tc>
          <w:tcPr>
            <w:tcW w:w="1385" w:type="dxa"/>
            <w:tcBorders/>
            <w:vAlign w:val="center"/>
          </w:tcPr>
          <w:p>
            <w:pPr>
              <w:pStyle w:val="TableContents"/>
              <w:bidi w:val="0"/>
              <w:spacing w:before="0" w:after="283"/>
              <w:jc w:val="both"/>
              <w:rPr>
                <w:sz w:val="20"/>
              </w:rPr>
            </w:pPr>
            <w:r>
              <w:rPr>
                <w:sz w:val="20"/>
              </w:rPr>
              <w:t>+852 2971 3006</w:t>
            </w:r>
          </w:p>
        </w:tc>
      </w:tr>
    </w:tbl>
    <w:tbl>
      <w:tblPr>
        <w:tblW w:w="2748" w:type="dxa"/>
        <w:jc w:val="left"/>
        <w:tblInd w:w="0" w:type="dxa"/>
        <w:tblLayout w:type="fixed"/>
        <w:tblCellMar>
          <w:top w:w="0" w:type="dxa"/>
          <w:left w:w="0" w:type="dxa"/>
          <w:bottom w:w="0" w:type="dxa"/>
          <w:right w:w="0" w:type="dxa"/>
        </w:tblCellMar>
      </w:tblPr>
      <w:tblGrid>
        <w:gridCol w:w="38"/>
        <w:gridCol w:w="560"/>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20"/>
              </w:rPr>
            </w:pPr>
            <w:r>
              <w:rPr>
                <w:sz w:val="20"/>
              </w:rPr>
              <w:t>Email:</w:t>
            </w:r>
          </w:p>
        </w:tc>
        <w:tc>
          <w:tcPr>
            <w:tcW w:w="2150" w:type="dxa"/>
            <w:tcBorders/>
            <w:vAlign w:val="center"/>
          </w:tcPr>
          <w:p>
            <w:pPr>
              <w:pStyle w:val="TableContents"/>
              <w:bidi w:val="0"/>
              <w:spacing w:before="0" w:after="283"/>
              <w:jc w:val="both"/>
              <w:rPr>
                <w:sz w:val="20"/>
              </w:rPr>
            </w:pPr>
            <w:r>
              <w:rPr>
                <w:sz w:val="20"/>
              </w:rPr>
              <w:t>Derrick.Kan@maples.com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to this Agreement may change such address for notices by sending to the parties to this Agreement written notice of a new address for such purpose. Each such notice or other communication shall be deemed given (i) when delivered personally, by email, or by verifiable facsimile transmission on or before 4:30 p.m., New York City time, on a Business Day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Saturday, Sunday or other day on which commercial banks in mainland China, the City of New York, Singapore, Hong Kong and the Cayman Islands are authorized or required by law to remain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inure to the benefit of and be binding upon the Company and the Agent and their respective successors and the affiliates, controlling persons, officers and directors referred to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the Company nor the Agent may assign its rights or obligations under this Agreement without the prior written consent of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Adjustments for Stock Splits</w:t>
      </w:r>
      <w:r>
        <w:rPr>
          <w:rFonts w:ascii="Times New Roman;Times;Serif" w:hAnsi="Times New Roman;Times;Serif"/>
          <w:b w:val="false"/>
          <w:i w:val="false"/>
          <w:caps w:val="false"/>
          <w:smallCaps w:val="false"/>
          <w:sz w:val="20"/>
        </w:rPr>
        <w:t>. The parties acknowledge and agree that all share-related numbers contained in this Agreement shall be adjusted to take into account any share consolidation, stock split, stock dividend, corporate domestication or similar event effected with respect to the Placement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Entire Agreement; Amendment; Severability</w:t>
      </w:r>
      <w:r>
        <w:rPr>
          <w:rFonts w:ascii="Times New Roman;Times;Serif" w:hAnsi="Times New Roman;Times;Serif"/>
          <w:b w:val="false"/>
          <w:i w:val="false"/>
          <w:caps w:val="false"/>
          <w:smallCaps w:val="false"/>
          <w:sz w:val="20"/>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GOVERNING LAW AND TIME; WAIVER OF JURY TRIAL</w:t>
      </w:r>
      <w:r>
        <w:rPr>
          <w:rFonts w:ascii="Times New Roman;Times;Serif" w:hAnsi="Times New Roman;Times;Serif"/>
          <w:b w:val="false"/>
          <w:i w:val="false"/>
          <w:caps w:val="false"/>
          <w:smallCaps w:val="false"/>
          <w:sz w:val="20"/>
        </w:rPr>
        <w:t>. THIS AGREEMENT SHALL BE GOVERNED BY AND CONSTRUED IN ACCORDANCE WITH THE LAWS OF THE STATE OF NEW YORK WITHOUT REGARD TO THE PRINCIPLES OF CONFLICTS OF LAWS. SPECIFIED TIMES OF DAY REFER TO NEW YORK CITY TIME. THE COMPANY AND THE AGENT EACH HEREBY IRREVOCABLY WAIVES, TO THE FULLEST EXTENT PERMITTED BY APPLICABLE LAW, ANY AND ALL RIGHT TO TRIAL BY JURY IN ANY LEGAL PROCEEDING ARISING OUT OF OR RELATING TO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CONSENT TO JURISDICTION</w:t>
      </w:r>
      <w:r>
        <w:rPr>
          <w:rFonts w:ascii="Times New Roman;Times;Serif" w:hAnsi="Times New Roman;Times;Serif"/>
          <w:b w:val="false"/>
          <w:i w:val="false"/>
          <w:caps w:val="false"/>
          <w:smallCaps w:val="false"/>
          <w:sz w:val="20"/>
        </w:rPr>
        <w:t>.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Use of Information</w:t>
      </w:r>
      <w:r>
        <w:rPr>
          <w:rFonts w:ascii="Times New Roman;Times;Serif" w:hAnsi="Times New Roman;Times;Serif"/>
          <w:b w:val="false"/>
          <w:i w:val="false"/>
          <w:caps w:val="false"/>
          <w:smallCaps w:val="false"/>
          <w:sz w:val="20"/>
        </w:rPr>
        <w:t>. The Agent may not use any information gained in connection with this Agreement and the transactions contemplated by this Agreement, including due diligence, to advise any party with respect to transactions not expressly approved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each of which shall be deemed an original, but all of which together shall constitute one and the same instrument. Delivery of an executed Agreement by one party to the other may be made by facsimile transmission or email of a .pdf attachment.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section, Schedule and Exhibit headings herein are for convenience only and shall not affect the construction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Permitted Free Writing Prospectuses</w:t>
      </w:r>
      <w:r>
        <w:rPr>
          <w:rFonts w:ascii="Times New Roman;Times;Serif" w:hAnsi="Times New Roman;Times;Serif"/>
          <w:b w:val="false"/>
          <w:i w:val="false"/>
          <w:caps w:val="false"/>
          <w:smallCaps w:val="false"/>
          <w:sz w:val="20"/>
        </w:rPr>
        <w:t xml:space="preserve">. The Company represents, warrants and agrees that, unless it obtains the prior consent of the Agent, and the Agent represents, warrants and agrees that, unless it obtains the prior consent of the Company, it has not made and will not make any offer relating to the Placement ADSs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Times;Serif" w:hAnsi="Times New Roman;Times;Serif"/>
          <w:b w:val="false"/>
          <w:i w:val="false"/>
          <w:caps w:val="false"/>
          <w:smallCaps w:val="false"/>
          <w:sz w:val="20"/>
          <w:u w:val="single"/>
        </w:rPr>
        <w:t>Exhibit 23</w:t>
      </w:r>
      <w:r>
        <w:rPr>
          <w:rFonts w:ascii="Times New Roman;Times;Serif" w:hAnsi="Times New Roman;Times;Serif"/>
          <w:b w:val="false"/>
          <w:i w:val="false"/>
          <w:caps w:val="false"/>
          <w:smallCaps w:val="false"/>
          <w:sz w:val="20"/>
        </w:rPr>
        <w:t xml:space="preserve"> hereto are Permitted Free Writing Prospectuses.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Absence of Fiduciary Relationship</w:t>
      </w:r>
      <w:r>
        <w:rPr>
          <w:rFonts w:ascii="Times New Roman;Times;Serif" w:hAnsi="Times New Roman;Times;Serif"/>
          <w:b w:val="false"/>
          <w:i w:val="false"/>
          <w:caps w:val="false"/>
          <w:smallCaps w:val="false"/>
          <w:sz w:val="20"/>
        </w:rPr>
        <w:t>. The Company acknowledges and agrees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Agent is acting solely as agent in connection with the public offering of the Placement ADSs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or not the Agent has advised or is advising the Company on other matters, and the Agent has no obligation to the Company with respect to the transactions contemplated by this Agreement except the obligations expressly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is capable of evaluating and understanding, and understands and accepts, the terms, risks and conditions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Agent has not provided any legal, accounting, regulatory or tax advice with respect to the transactions contemplated by this Agreement and it has consulted its own legal, accounting, regulatory and tax advisors to the extent it has deemed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it is aware that the Agent and its affiliates are engaged in a broad range of transactions which may involve interests that differ from those of the Company and the Agent has no obligation to disclose such interests and transactions to the Company by virtue of any fiduciary, advisory or agency relationship or otherwise;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it waives, to the fullest extent permitted by law, any claims it may have against the Agent for breach of fiduciary duty or alleged breach of fiduciary duty in connection with the sale of Placement ADSs under this Agreement and agrees that the Agent shall not have any liability (whether direct or indirect, in contract, tort or otherwise) to it in respect of such a fiduciary duty claim or to any person asserting a fiduciary duty claim on its behalf or in right of it or the Company, employees or creditors of Company, other than in respect of the Agent’s obligations under this Agreement and to keep information provided by the Company to the Agent and its counsel confidential to the extent not otherwise publicly-available.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in this Agreement, the following terms have the respective meanings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Time</w:t>
      </w:r>
      <w:r>
        <w:rPr>
          <w:rFonts w:ascii="Times New Roman;Times;Serif" w:hAnsi="Times New Roman;Times;Serif"/>
          <w:b w:val="false"/>
          <w:i w:val="false"/>
          <w:caps w:val="false"/>
          <w:smallCaps w:val="false"/>
          <w:sz w:val="20"/>
        </w:rPr>
        <w:t>” means (i) each Representation Date and (ii) the time of each sale of any Placement ADSs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Effective Date” shall mean each date and time that the Registration Statement and any post-effective amendment or amendments thereto became or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Execution Time” shall mean the date and time that this Agreement is executed and delivered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means any “issuer free writing prospectus,” as defined in Rule 433, relating to the Placement ADSs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ADSs or of the offering that does not reflect the final terms, in each case in the form filed or required to be filed with the Commission or, if not required to be filed, in the form retained in the Company’s records pursuant to Rule 433(g)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 Equivalents” means any securities of the Company or the Subsidiaries which would entitle the holder thereof to acquire at any time Ordinary Shares or ADSs, including, without limitation, any debt, preferred shares, right, option, warrant or other instrument that is at any time convertible into or exercisable or exchangeable for, or otherwise entitles the holder thereof to receive, Ordinary Shares or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172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405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415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424(b)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430B</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Rule 433</w:t>
      </w:r>
      <w:r>
        <w:rPr>
          <w:rFonts w:ascii="Times New Roman;Times;Serif" w:hAnsi="Times New Roman;Times;Serif"/>
          <w:b w:val="false"/>
          <w:i w:val="false"/>
          <w:caps w:val="false"/>
          <w:smallCaps w:val="false"/>
          <w:sz w:val="20"/>
        </w:rPr>
        <w:t>” refer to such rules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ADSs by the Agent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the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the understanding between the Company and the Agent, please so indicate in the space provided below for that purpose, whereupon this letter shall constitute a binding agreement between the Company and the Agent.</w:t>
      </w:r>
    </w:p>
    <w:tbl>
      <w:tblPr>
        <w:tblW w:w="4090" w:type="dxa"/>
        <w:jc w:val="left"/>
        <w:tblInd w:w="0" w:type="dxa"/>
        <w:tblLayout w:type="fixed"/>
        <w:tblCellMar>
          <w:top w:w="0" w:type="dxa"/>
          <w:left w:w="0" w:type="dxa"/>
          <w:bottom w:w="0" w:type="dxa"/>
          <w:right w:w="0" w:type="dxa"/>
        </w:tblCellMar>
      </w:tblPr>
      <w:tblGrid>
        <w:gridCol w:w="75"/>
        <w:gridCol w:w="60"/>
        <w:gridCol w:w="320"/>
        <w:gridCol w:w="3635"/>
      </w:tblGrid>
      <w:tr>
        <w:trPr/>
        <w:tc>
          <w:tcPr>
            <w:tcW w:w="75" w:type="dxa"/>
            <w:tcBorders/>
            <w:vAlign w:val="center"/>
          </w:tcPr>
          <w:p>
            <w:pPr>
              <w:pStyle w:val="TableContents"/>
              <w:bidi w:val="0"/>
              <w:spacing w:before="0" w:after="283"/>
              <w:jc w:val="left"/>
              <w:rPr/>
            </w:pPr>
            <w:r>
              <w:rPr/>
              <w:t> </w:t>
            </w:r>
          </w:p>
        </w:tc>
        <w:tc>
          <w:tcPr>
            <w:tcW w:w="401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01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401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5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w:t>
            </w:r>
          </w:p>
        </w:tc>
      </w:tr>
      <w:tr>
        <w:trPr/>
        <w:tc>
          <w:tcPr>
            <w:tcW w:w="75" w:type="dxa"/>
            <w:tcBorders/>
            <w:vAlign w:val="center"/>
          </w:tcPr>
          <w:p>
            <w:pPr>
              <w:pStyle w:val="TableContents"/>
              <w:bidi w:val="0"/>
              <w:spacing w:before="0" w:after="283"/>
              <w:jc w:val="left"/>
              <w:rPr/>
            </w:pPr>
            <w:r>
              <w:rPr/>
              <w:t> </w:t>
            </w:r>
          </w:p>
        </w:tc>
        <w:tc>
          <w:tcPr>
            <w:tcW w:w="401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Nangeng Zhang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Nangeng Zhang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Chairman and Chief Executive Officer</w:t>
            </w:r>
          </w:p>
        </w:tc>
      </w:tr>
      <w:tr>
        <w:trPr/>
        <w:tc>
          <w:tcPr>
            <w:tcW w:w="75" w:type="dxa"/>
            <w:tcBorders/>
            <w:vAlign w:val="center"/>
          </w:tcPr>
          <w:p>
            <w:pPr>
              <w:pStyle w:val="TableContents"/>
              <w:bidi w:val="0"/>
              <w:spacing w:before="0" w:after="283"/>
              <w:jc w:val="left"/>
              <w:rPr/>
            </w:pPr>
            <w:r>
              <w:rPr/>
              <w:t> </w:t>
            </w:r>
          </w:p>
        </w:tc>
        <w:tc>
          <w:tcPr>
            <w:tcW w:w="401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01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ACCEPTED as of the date first-above written: </w:t>
            </w:r>
          </w:p>
        </w:tc>
      </w:tr>
      <w:tr>
        <w:trPr/>
        <w:tc>
          <w:tcPr>
            <w:tcW w:w="75" w:type="dxa"/>
            <w:tcBorders/>
            <w:vAlign w:val="center"/>
          </w:tcPr>
          <w:p>
            <w:pPr>
              <w:pStyle w:val="TableContents"/>
              <w:bidi w:val="0"/>
              <w:spacing w:before="0" w:after="283"/>
              <w:jc w:val="left"/>
              <w:rPr/>
            </w:pPr>
            <w:r>
              <w:rPr/>
              <w:t> </w:t>
            </w:r>
          </w:p>
        </w:tc>
        <w:tc>
          <w:tcPr>
            <w:tcW w:w="401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5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RILEY SECURITIES, INC.</w:t>
            </w:r>
          </w:p>
        </w:tc>
      </w:tr>
      <w:tr>
        <w:trPr/>
        <w:tc>
          <w:tcPr>
            <w:tcW w:w="75" w:type="dxa"/>
            <w:tcBorders/>
            <w:vAlign w:val="center"/>
          </w:tcPr>
          <w:p>
            <w:pPr>
              <w:pStyle w:val="TableContents"/>
              <w:bidi w:val="0"/>
              <w:spacing w:before="0" w:after="283"/>
              <w:jc w:val="left"/>
              <w:rPr/>
            </w:pPr>
            <w:r>
              <w:rPr/>
              <w:t> </w:t>
            </w:r>
          </w:p>
        </w:tc>
        <w:tc>
          <w:tcPr>
            <w:tcW w:w="401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Patrice McNicoll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Patrice McNicoll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Co-Head of Investment Banking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PLACEMENT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38"/>
        <w:gridCol w:w="500"/>
        <w:gridCol w:w="99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20"/>
              </w:rPr>
            </w:pPr>
            <w:r>
              <w:rPr>
                <w:sz w:val="20"/>
              </w:rPr>
              <w:t>From:</w:t>
            </w:r>
          </w:p>
        </w:tc>
        <w:tc>
          <w:tcPr>
            <w:tcW w:w="995" w:type="dxa"/>
            <w:tcBorders/>
            <w:vAlign w:val="center"/>
          </w:tcPr>
          <w:p>
            <w:pPr>
              <w:pStyle w:val="TableContents"/>
              <w:bidi w:val="0"/>
              <w:spacing w:before="0" w:after="283"/>
              <w:jc w:val="both"/>
              <w:rPr>
                <w:sz w:val="20"/>
              </w:rPr>
            </w:pPr>
            <w:r>
              <w:rPr>
                <w:sz w:val="20"/>
              </w:rPr>
              <w:t>Canaan Inc.</w:t>
            </w:r>
          </w:p>
        </w:tc>
      </w:tr>
    </w:tbl>
    <w:p>
      <w:pPr>
        <w:pStyle w:val="TextBody"/>
        <w:bidi w:val="0"/>
        <w:spacing w:before="0" w:after="0"/>
        <w:ind w:left="0" w:right="0" w:hanging="0"/>
        <w:jc w:val="left"/>
        <w:rPr>
          <w:caps w:val="false"/>
          <w:smallCaps w:val="false"/>
        </w:rPr>
      </w:pPr>
      <w:r>
        <w:rPr>
          <w:caps w:val="false"/>
          <w:smallCaps w:val="false"/>
        </w:rPr>
        <w:t> </w:t>
      </w:r>
    </w:p>
    <w:tbl>
      <w:tblPr>
        <w:tblW w:w="2283" w:type="dxa"/>
        <w:jc w:val="left"/>
        <w:tblInd w:w="0" w:type="dxa"/>
        <w:tblLayout w:type="fixed"/>
        <w:tblCellMar>
          <w:top w:w="0" w:type="dxa"/>
          <w:left w:w="0" w:type="dxa"/>
          <w:bottom w:w="0" w:type="dxa"/>
          <w:right w:w="0" w:type="dxa"/>
        </w:tblCellMar>
      </w:tblPr>
      <w:tblGrid>
        <w:gridCol w:w="38"/>
        <w:gridCol w:w="305"/>
        <w:gridCol w:w="194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20"/>
              </w:rPr>
            </w:pPr>
            <w:r>
              <w:rPr>
                <w:sz w:val="20"/>
              </w:rPr>
              <w:t>To:</w:t>
            </w:r>
          </w:p>
        </w:tc>
        <w:tc>
          <w:tcPr>
            <w:tcW w:w="1940" w:type="dxa"/>
            <w:tcBorders/>
            <w:vAlign w:val="center"/>
          </w:tcPr>
          <w:p>
            <w:pPr>
              <w:pStyle w:val="TableContents"/>
              <w:bidi w:val="0"/>
              <w:spacing w:before="0" w:after="283"/>
              <w:jc w:val="both"/>
              <w:rPr>
                <w:sz w:val="20"/>
              </w:rPr>
            </w:pPr>
            <w:r>
              <w:rPr>
                <w:sz w:val="20"/>
              </w:rPr>
              <w:t>B. Riley Securities, Inc.</w:t>
            </w:r>
          </w:p>
        </w:tc>
      </w:tr>
    </w:tbl>
    <w:p>
      <w:pPr>
        <w:pStyle w:val="TextBody"/>
        <w:bidi w:val="0"/>
        <w:spacing w:before="0" w:after="0"/>
        <w:ind w:left="0" w:right="0" w:hanging="0"/>
        <w:jc w:val="left"/>
        <w:rPr>
          <w:caps w:val="false"/>
          <w:smallCaps w:val="false"/>
        </w:rPr>
      </w:pPr>
      <w:r>
        <w:rPr>
          <w:caps w:val="false"/>
          <w:smallCaps w:val="false"/>
        </w:rPr>
        <w:t> </w:t>
      </w:r>
    </w:p>
    <w:tbl>
      <w:tblPr>
        <w:tblW w:w="2313" w:type="dxa"/>
        <w:jc w:val="left"/>
        <w:tblInd w:w="0" w:type="dxa"/>
        <w:tblLayout w:type="fixed"/>
        <w:tblCellMar>
          <w:top w:w="0" w:type="dxa"/>
          <w:left w:w="0" w:type="dxa"/>
          <w:bottom w:w="0" w:type="dxa"/>
          <w:right w:w="0" w:type="dxa"/>
        </w:tblCellMar>
      </w:tblPr>
      <w:tblGrid>
        <w:gridCol w:w="38"/>
        <w:gridCol w:w="860"/>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20"/>
              </w:rPr>
            </w:pPr>
            <w:r>
              <w:rPr>
                <w:sz w:val="20"/>
              </w:rPr>
              <w:t>Attention:</w:t>
            </w:r>
          </w:p>
        </w:tc>
        <w:tc>
          <w:tcPr>
            <w:tcW w:w="1415" w:type="dxa"/>
            <w:tcBorders/>
            <w:vAlign w:val="center"/>
          </w:tcPr>
          <w:p>
            <w:pPr>
              <w:pStyle w:val="TableContents"/>
              <w:bidi w:val="0"/>
              <w:spacing w:before="0" w:after="283"/>
              <w:jc w:val="both"/>
              <w:rPr>
                <w:sz w:val="20"/>
              </w:rPr>
            </w:pPr>
            <w:r>
              <w:rPr>
                <w:sz w:val="20"/>
              </w:rPr>
              <w:t>Patrice McNicoll</w:t>
            </w:r>
          </w:p>
        </w:tc>
      </w:tr>
    </w:tbl>
    <w:p>
      <w:pPr>
        <w:pStyle w:val="TextBody"/>
        <w:bidi w:val="0"/>
        <w:spacing w:before="0" w:after="0"/>
        <w:ind w:left="0" w:right="0" w:hanging="0"/>
        <w:jc w:val="left"/>
        <w:rPr>
          <w:caps w:val="false"/>
          <w:smallCaps w:val="false"/>
        </w:rPr>
      </w:pPr>
      <w:r>
        <w:rPr>
          <w:caps w:val="false"/>
          <w:smallCaps w:val="false"/>
        </w:rPr>
        <w:t> </w:t>
      </w:r>
    </w:p>
    <w:tbl>
      <w:tblPr>
        <w:tblW w:w="3873" w:type="dxa"/>
        <w:jc w:val="left"/>
        <w:tblInd w:w="0" w:type="dxa"/>
        <w:tblLayout w:type="fixed"/>
        <w:tblCellMar>
          <w:top w:w="0" w:type="dxa"/>
          <w:left w:w="0" w:type="dxa"/>
          <w:bottom w:w="0" w:type="dxa"/>
          <w:right w:w="0" w:type="dxa"/>
        </w:tblCellMar>
      </w:tblPr>
      <w:tblGrid>
        <w:gridCol w:w="38"/>
        <w:gridCol w:w="695"/>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20"/>
              </w:rPr>
            </w:pPr>
            <w:r>
              <w:rPr>
                <w:sz w:val="20"/>
              </w:rPr>
              <w:t>Subject:</w:t>
            </w:r>
          </w:p>
        </w:tc>
        <w:tc>
          <w:tcPr>
            <w:tcW w:w="3140" w:type="dxa"/>
            <w:tcBorders/>
            <w:vAlign w:val="center"/>
          </w:tcPr>
          <w:p>
            <w:pPr>
              <w:pStyle w:val="TableContents"/>
              <w:bidi w:val="0"/>
              <w:spacing w:before="0" w:after="283"/>
              <w:jc w:val="both"/>
              <w:rPr>
                <w:sz w:val="20"/>
              </w:rPr>
            </w:pPr>
            <w:r>
              <w:rPr>
                <w:sz w:val="20"/>
              </w:rPr>
              <w:t>At Market Issuance--Placement Notice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and subject to the conditions contained in the At Market Issuance Sales Agreement between Canaan Inc., an exempted company incorporated under the laws of the Cayman Islands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B. Riley Securities, Inc. (the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dated November 10, 2023, the Company hereby requests that the Agent sell up to [____] of the Company’s ADSs at a minimum market price of $</w:t>
        <w:tab/>
        <w:t>     per share, during the time period beginning [month, day, time] and ending [month, day,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to the Agent in cash, upon each sale of Placement ADSs pursuant to this Agreement, an amount equal to up to 3.0% of the gross proceeds from each sale of Placement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 Riley Securities</w:t>
      </w:r>
    </w:p>
    <w:p>
      <w:pPr>
        <w:pStyle w:val="TextBody"/>
        <w:bidi w:val="0"/>
        <w:spacing w:before="0" w:after="0"/>
        <w:ind w:left="0" w:right="0" w:hanging="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1520"/>
        <w:gridCol w:w="2300"/>
      </w:tblGrid>
      <w:tr>
        <w:trPr/>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Feinberg</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mfeinberg@brileyfin.com</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Patrice McNicoll</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pmcnicoll@brileyfin.com</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Keith Pompliano</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kpompliano@brileyfin.com</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Ammaturo</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sammaturo@brileyfin.com</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pPr>
            <w:r>
              <w:rPr/>
              <w:t> </w:t>
            </w:r>
          </w:p>
        </w:tc>
      </w:tr>
      <w:tr>
        <w:trPr/>
        <w:tc>
          <w:tcPr>
            <w:tcW w:w="382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a copy to </w:t>
            </w:r>
            <w:r>
              <w:rPr>
                <w:rFonts w:ascii="Times New Roman;Times;Serif" w:hAnsi="Times New Roman;Times;Serif"/>
                <w:b w:val="false"/>
                <w:i w:val="false"/>
                <w:caps w:val="false"/>
                <w:smallCaps w:val="false"/>
                <w:sz w:val="20"/>
                <w:u w:val="single"/>
              </w:rPr>
              <w:t>atmdesk@brileyfin.com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7(1)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Representation Date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 20___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Representation Date Certificate (this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xml:space="preserve">”) is executed and delivered in connection with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of the At Market Issuance Sales Agreement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November 10, 2023, and entered into between Canaan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B. Riley Securities, Inc. All capitalized terms used but not defined herein shall have the meanings given to such terms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certifies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As of the date of this Certificate (i) the Registration Statement does not contain any untrue statement of a material fact or omit to state a material fact required to be stated therein or necessary in order to make the statements therein not misleading and (ii) neither the Registration Statement nor the Prospectus contain any untrue statement of a material fact or omit to state a material fact required to be stated therein or necessary in order to make the statements therein, in light of the circumstances under which they were made, not misleading and (iii) no event has occurred as a result of which it is necessary to amend or supplement the Prospectus in order to make the statements therein not untrue or misleading for this paragraph 1 to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Each of the representations and warranties of the Company contained in the Agreement were, when originally made, and are, as of the date of this Certificate, true and correct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Except as waived by the Agent in writing, each of the covenants required to be performed by the Company in the Agreement on or prior to the date of the Agreement, this Representation Date, and each such other date prior to the date hereof as set forth in the Agreement, has been duly, timely and fully performed in all material respects and each condition required to be complied with by the Company on or prior to the date of the Agreement, this Representation Date, and each such other date prior to the date hereof as set forth in the Agreement has been duly, timely and fully complied with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Subsequent to the date of the most recent financial statements in the Prospectus, and except as described in the Prospectus, including Incorporated Documents, there has been no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No stop order suspending the effectiveness of the Registration Statement or of any part thereof has been issued, and no proceedings for that purpose have been instituted or are pending or threatened by any securities or other governmental authority (including, without limitation,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No order suspending the effectiveness of the Registration Statement or the qualification or registration of the Placement ADSs under the securities or Blue Sky laws of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are in effect and no proceeding for such purpose is pending before, or threatened, to the Company’s knowledge or in writing by, any securities or other governmental authority (including, without limitation,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has executed this Representation Date Certificate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1354" w:type="dxa"/>
        <w:jc w:val="left"/>
        <w:tblInd w:w="0" w:type="dxa"/>
        <w:tblLayout w:type="fixed"/>
        <w:tblCellMar>
          <w:top w:w="0" w:type="dxa"/>
          <w:left w:w="0" w:type="dxa"/>
          <w:bottom w:w="0" w:type="dxa"/>
          <w:right w:w="0" w:type="dxa"/>
        </w:tblCellMar>
      </w:tblPr>
      <w:tblGrid>
        <w:gridCol w:w="75"/>
        <w:gridCol w:w="1107"/>
        <w:gridCol w:w="172"/>
      </w:tblGrid>
      <w:tr>
        <w:trPr/>
        <w:tc>
          <w:tcPr>
            <w:tcW w:w="75"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w:t>
            </w:r>
          </w:p>
        </w:tc>
      </w:tr>
      <w:tr>
        <w:trPr/>
        <w:tc>
          <w:tcPr>
            <w:tcW w:w="75"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Permitted Issuer Free Writing Prospectuses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26693</Words>
  <Characters>139431</Characters>
  <CharactersWithSpaces>167923</CharactersWithSpaces>
  <Paragraphs>1002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