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25497d2_6k.htm"/>
      <w:bookmarkStart w:id="1" w:name="kstm2525497d2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2025</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001-39127</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Canaan Inc.</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Ayer Rajah Crescent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#06-08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139959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28" w:type="dxa"/>
          <w:right w:w="0" w:type="dxa"/>
        </w:tblCellMar>
      </w:tblPr>
      <w:tblGrid>
        <w:gridCol w:w="1205"/>
        <w:gridCol w:w="60"/>
        <w:gridCol w:w="701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01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525497d2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7010" w:type="dxa"/>
            <w:tcBorders/>
            <w:tcMar>
              <w:bottom w:w="0" w:type="dxa"/>
            </w:tcMar>
            <w:vAlign w:val="center"/>
          </w:tcPr>
          <w:p>
            <w:pPr>
              <w:pStyle w:val="TableContents"/>
              <w:bidi w:val="0"/>
              <w:spacing w:before="0" w:after="283"/>
              <w:jc w:val="both"/>
              <w:rPr/>
            </w:pPr>
            <w:hyperlink w:anchor="tm2525497d2_ex99-1.htm">
              <w:r>
                <w:rPr>
                  <w:rStyle w:val="InternetLink"/>
                  <w:rFonts w:ascii="Times New Roman;Times;Serif" w:hAnsi="Times New Roman;Times;Serif"/>
                  <w:sz w:val="20"/>
                </w:rPr>
                <w:t>Canaan Inc. Provides August 2025 Bitcoin Production and Mining Operation Updates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Canaan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Nangeng Zhang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525497d2_ex99-1.htm"/>
      <w:bookmarkStart w:id="3" w:name="kstm2525497d2_ex991"/>
      <w:bookmarkEnd w:id="2"/>
      <w:bookmarkEnd w:id="3"/>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50495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 Provides August 2025 Bitcoin Production and Mining Operation Updates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Bitcoins mined month-over-month increases 10%, bitcoin treasury hits 1,547</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estimated computing power exceeds 10 EH/s globally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September 8, 2025 /PRNewswire/ -- Canaan Inc. (NASDAQ: CAN) (“Canaan” or the “Company”), an innovator in crypto mining, today released its unaudited bitcoin mining update for the month ending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We’re pleased to report strong month-over-month improvement across all key metrics of our Bitcoin mining operations,” said Nangeng Zhang, chairman and chief executive officer of Canaan. “In August, we mined 98 bitcoins, supported by our enhanced operating hashrate and continued low average power costs. We expanded our deployed hashrate by significantly scaling operations in the U.S., adding our first mining project in Southeast Asia, and making steady progress in growing mining hashrate in Ethiopia. These efforts led to our August Installed Computing Power of 8.6EH/s, and with another 1.46EH/s of Expected Computing Power already delivered to the countries of mining operations, we expect to reach over 10EH/s when it is installed. Importantly, we achieved a major efficiency milestone by reducing our average North American miner performance to below 20J/TH for the first time — a critical step in our self-mining operations. Consistent with our disciplined treasury strategy, we continue to hold mined bitcoins post-costs as long-term reserve assets, bringing our total bitcoin treasury to 1,547 at month-end.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results highlight both our resilience and adaptability,” Zhang continued. “After voluntarily exiting a less efficient hosting site in South Texas in July, we rapidly stabilized uptime, optimized energy usage, and advanced our U.S. self-mining buildout. The redeployment of miners previously offline is already well underway, with a meaningful portion brought back online in August and more to follow. By combining our proprietary ASIC innovation with operational excellence, we are strengthening a mining platform that not only drives sustainable bitcoin production but also lays the foundation for future AI-driven computing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2025 Bitcoin Mining Updates (unaudited)</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10" w:type="dxa"/>
        <w:tblLayout w:type="fixed"/>
        <w:tblCellMar>
          <w:top w:w="28" w:type="dxa"/>
          <w:left w:w="108" w:type="dxa"/>
          <w:bottom w:w="28" w:type="dxa"/>
          <w:right w:w="108" w:type="dxa"/>
        </w:tblCellMar>
      </w:tblPr>
      <w:tblGrid>
        <w:gridCol w:w="5135"/>
        <w:gridCol w:w="2360"/>
      </w:tblGrid>
      <w:tr>
        <w:trPr/>
        <w:tc>
          <w:tcPr>
            <w:tcW w:w="51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Key Metrics</w:t>
            </w:r>
          </w:p>
        </w:tc>
        <w:tc>
          <w:tcPr>
            <w:tcW w:w="23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(Rounded Numbers)</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Bitcoins Mined During the Month</w:t>
            </w:r>
          </w:p>
        </w:tc>
        <w:tc>
          <w:tcPr>
            <w:tcW w:w="2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 Bitcoins</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Bitcoins Owned by Canaan Inc. on Balance Sheet</w:t>
            </w:r>
            <w:r>
              <w:rPr>
                <w:rFonts w:ascii="Times New Roman;Times;Serif" w:hAnsi="Times New Roman;Times;Serif"/>
                <w:position w:val="7"/>
                <w:sz w:val="16"/>
                <w:sz w:val="20"/>
              </w:rPr>
              <w:t>1</w:t>
            </w:r>
          </w:p>
        </w:tc>
        <w:tc>
          <w:tcPr>
            <w:tcW w:w="2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1,547 Bitcoins</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Deployed Hashrate (EH/s)</w:t>
            </w:r>
          </w:p>
        </w:tc>
        <w:tc>
          <w:tcPr>
            <w:tcW w:w="2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8.60 EH/s</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Operating Hashrate (EH/s)</w:t>
            </w:r>
          </w:p>
        </w:tc>
        <w:tc>
          <w:tcPr>
            <w:tcW w:w="2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7.50 EH/s</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Average Revenue Split</w:t>
            </w:r>
            <w:r>
              <w:rPr>
                <w:rFonts w:ascii="Times New Roman;Times;Serif" w:hAnsi="Times New Roman;Times;Serif"/>
                <w:position w:val="7"/>
                <w:sz w:val="16"/>
                <w:sz w:val="20"/>
              </w:rPr>
              <w:t>2</w:t>
            </w:r>
          </w:p>
        </w:tc>
        <w:tc>
          <w:tcPr>
            <w:tcW w:w="2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58.2%</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All-in Power Cost During the Month</w:t>
            </w:r>
            <w:r>
              <w:rPr>
                <w:rFonts w:ascii="Times New Roman;Times;Serif" w:hAnsi="Times New Roman;Times;Serif"/>
                <w:position w:val="7"/>
                <w:sz w:val="16"/>
                <w:sz w:val="20"/>
              </w:rPr>
              <w:t>3</w:t>
            </w:r>
          </w:p>
        </w:tc>
        <w:tc>
          <w:tcPr>
            <w:tcW w:w="23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US$0.042/kWh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2025 Bitcoin Mining Infrastructure Updates (unaudited)</w:t>
      </w:r>
    </w:p>
    <w:p>
      <w:pPr>
        <w:pStyle w:val="TextBody"/>
        <w:bidi w:val="0"/>
        <w:spacing w:before="0" w:after="0"/>
        <w:ind w:left="0" w:right="0" w:hanging="0"/>
        <w:jc w:val="left"/>
        <w:rPr>
          <w:caps w:val="false"/>
          <w:smallCaps w:val="false"/>
        </w:rPr>
      </w:pPr>
      <w:r>
        <w:rPr>
          <w:caps w:val="false"/>
          <w:smallCaps w:val="false"/>
        </w:rPr>
        <w:t> </w:t>
      </w:r>
    </w:p>
    <w:tbl>
      <w:tblPr>
        <w:tblW w:w="6845" w:type="dxa"/>
        <w:jc w:val="left"/>
        <w:tblInd w:w="-10" w:type="dxa"/>
        <w:tblLayout w:type="fixed"/>
        <w:tblCellMar>
          <w:top w:w="28" w:type="dxa"/>
          <w:left w:w="108" w:type="dxa"/>
          <w:bottom w:w="28" w:type="dxa"/>
          <w:right w:w="108" w:type="dxa"/>
        </w:tblCellMar>
      </w:tblPr>
      <w:tblGrid>
        <w:gridCol w:w="3125"/>
        <w:gridCol w:w="1205"/>
        <w:gridCol w:w="1610"/>
        <w:gridCol w:w="905"/>
      </w:tblGrid>
      <w:tr>
        <w:trPr/>
        <w:tc>
          <w:tcPr>
            <w:tcW w:w="31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 </w:t>
            </w:r>
          </w:p>
        </w:tc>
        <w:tc>
          <w:tcPr>
            <w:tcW w:w="12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North America</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Non-North America</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Global</w:t>
            </w:r>
          </w:p>
        </w:tc>
      </w:tr>
      <w:tr>
        <w:trPr/>
        <w:tc>
          <w:tcPr>
            <w:tcW w:w="31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Month-End Average Miner Efficiency</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19.9 J/TH</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28.9 J/TH</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25.5 J/TH</w:t>
            </w:r>
          </w:p>
        </w:tc>
      </w:tr>
      <w:tr>
        <w:trPr/>
        <w:tc>
          <w:tcPr>
            <w:tcW w:w="31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Month-End Installed Power Capacity</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83.6 MW</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132.4 MW</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216.0 MW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i/>
              </w:rPr>
            </w:pPr>
            <w:r>
              <w:rPr>
                <w:i/>
              </w:rPr>
              <w:t>1.</w:t>
            </w:r>
          </w:p>
        </w:tc>
        <w:tc>
          <w:tcPr>
            <w:tcW w:w="10007" w:type="dxa"/>
            <w:tcBorders/>
            <w:vAlign w:val="center"/>
          </w:tcPr>
          <w:p>
            <w:pPr>
              <w:pStyle w:val="TableContents"/>
              <w:bidi w:val="0"/>
              <w:spacing w:before="0" w:after="283"/>
              <w:jc w:val="both"/>
              <w:rPr>
                <w:i/>
              </w:rPr>
            </w:pPr>
            <w:r>
              <w:rPr>
                <w:i/>
              </w:rPr>
              <w:t>Defined as the total number of bitcoins owned by the Company on its Balance Sheet including any bitcoins receivable, excluding bitcoins that the Company has received as customer deposits.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i/>
              </w:rPr>
            </w:pPr>
            <w:r>
              <w:rPr>
                <w:i/>
              </w:rPr>
              <w:t>2.</w:t>
            </w:r>
          </w:p>
        </w:tc>
        <w:tc>
          <w:tcPr>
            <w:tcW w:w="10007" w:type="dxa"/>
            <w:tcBorders/>
            <w:vAlign w:val="center"/>
          </w:tcPr>
          <w:p>
            <w:pPr>
              <w:pStyle w:val="TableContents"/>
              <w:bidi w:val="0"/>
              <w:spacing w:before="0" w:after="283"/>
              <w:jc w:val="both"/>
              <w:rPr>
                <w:i/>
              </w:rPr>
            </w:pPr>
            <w:r>
              <w:rPr>
                <w:i/>
              </w:rPr>
              <w:t>Defined as the weighted average percentage that Canaan would share from the total revenues generated according to the applicable joint mining arrangements if 100% of the mining machines consisting of Installed Computing Power (as defined below) were energized.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i/>
              </w:rPr>
            </w:pPr>
            <w:r>
              <w:rPr>
                <w:i/>
              </w:rPr>
              <w:t>3.</w:t>
            </w:r>
          </w:p>
        </w:tc>
        <w:tc>
          <w:tcPr>
            <w:tcW w:w="10007" w:type="dxa"/>
            <w:tcBorders/>
            <w:vAlign w:val="center"/>
          </w:tcPr>
          <w:p>
            <w:pPr>
              <w:pStyle w:val="TableContents"/>
              <w:bidi w:val="0"/>
              <w:spacing w:before="0" w:after="283"/>
              <w:jc w:val="both"/>
              <w:rPr>
                <w:i/>
              </w:rPr>
            </w:pPr>
            <w:r>
              <w:rPr>
                <w:i/>
              </w:rPr>
              <w:t>Defined as the weighted average cost of power if 100% of the mining machines consisting of Installed Computing Power were energized.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rFonts w:ascii="Times New Roman;Times;Serif" w:hAnsi="Times New Roman;Times;Serif"/>
          <w:b/>
          <w:i w:val="false"/>
          <w:caps w:val="false"/>
          <w:smallCaps w:val="false"/>
          <w:sz w:val="20"/>
        </w:rPr>
        <w:t>Current Mining Projects (As of August 31, 2025)</w:t>
      </w:r>
      <w:r>
        <w:rPr>
          <w:rFonts w:eastAsia="Times New Roman;Times;Serif"/>
          <w:b/>
          <w:i w:val="false"/>
          <w:caps w:val="false"/>
          <w:smallCaps w:val="false"/>
          <w:sz w:val="20"/>
        </w:rPr>
        <w:t>：</w:t>
      </w:r>
    </w:p>
    <w:p>
      <w:pPr>
        <w:pStyle w:val="TextBody"/>
        <w:bidi w:val="0"/>
        <w:spacing w:before="0" w:after="283"/>
        <w:jc w:val="left"/>
        <w:rPr/>
      </w:pPr>
      <w:r>
        <w:rPr/>
        <w:t> </w:t>
      </w:r>
    </w:p>
    <w:tbl>
      <w:tblPr>
        <w:tblW w:w="6960" w:type="dxa"/>
        <w:jc w:val="left"/>
        <w:tblInd w:w="0" w:type="dxa"/>
        <w:tblLayout w:type="fixed"/>
        <w:tblCellMar>
          <w:top w:w="0" w:type="dxa"/>
          <w:left w:w="0" w:type="dxa"/>
          <w:bottom w:w="28" w:type="dxa"/>
          <w:right w:w="0" w:type="dxa"/>
        </w:tblCellMar>
      </w:tblPr>
      <w:tblGrid>
        <w:gridCol w:w="1820"/>
        <w:gridCol w:w="1220"/>
        <w:gridCol w:w="1010"/>
        <w:gridCol w:w="965"/>
        <w:gridCol w:w="965"/>
        <w:gridCol w:w="980"/>
      </w:tblGrid>
      <w:tr>
        <w:trPr/>
        <w:tc>
          <w:tcPr>
            <w:tcW w:w="18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Regions</w:t>
              <w:br/>
              <w:t>in alphabetical order</w:t>
              <w:br/>
              <w:t>(A to Z)</w:t>
            </w:r>
          </w:p>
        </w:tc>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Active Mining</w:t>
              <w:br/>
              <w:t xml:space="preserve">Projects </w:t>
              <w:br/>
              <w:t>Count</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Energized </w:t>
              <w:br/>
              <w:t xml:space="preserve">Computing </w:t>
              <w:br/>
              <w:t>Power</w:t>
            </w:r>
            <w:r>
              <w:rPr>
                <w:rFonts w:ascii="Times New Roman;Times;Serif" w:hAnsi="Times New Roman;Times;Serif"/>
                <w:b/>
                <w:position w:val="7"/>
                <w:sz w:val="16"/>
                <w:sz w:val="20"/>
              </w:rPr>
              <w:t>4</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Installed </w:t>
              <w:br/>
              <w:t>Computing</w:t>
              <w:br/>
              <w:t>Power</w:t>
            </w:r>
            <w:r>
              <w:rPr>
                <w:rFonts w:ascii="Times New Roman;Times;Serif" w:hAnsi="Times New Roman;Times;Serif"/>
                <w:b/>
                <w:position w:val="7"/>
                <w:sz w:val="16"/>
                <w:sz w:val="20"/>
              </w:rPr>
              <w:t>5</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Expected </w:t>
              <w:br/>
              <w:t>Computing</w:t>
              <w:br/>
              <w:t>Power</w:t>
            </w:r>
            <w:r>
              <w:rPr>
                <w:rFonts w:ascii="Times New Roman;Times;Serif" w:hAnsi="Times New Roman;Times;Serif"/>
                <w:b/>
                <w:position w:val="7"/>
                <w:sz w:val="16"/>
                <w:sz w:val="20"/>
              </w:rPr>
              <w:t>6</w:t>
            </w:r>
          </w:p>
        </w:tc>
        <w:tc>
          <w:tcPr>
            <w:tcW w:w="9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Estimated </w:t>
              <w:br/>
              <w:t>Total</w:t>
              <w:br/>
              <w:t>Computing</w:t>
              <w:br/>
              <w:t>Power</w:t>
            </w:r>
            <w:r>
              <w:rPr>
                <w:rFonts w:ascii="Times New Roman;Times;Serif" w:hAnsi="Times New Roman;Times;Serif"/>
                <w:b/>
                <w:position w:val="7"/>
                <w:sz w:val="16"/>
                <w:sz w:val="20"/>
              </w:rPr>
              <w:t>7</w:t>
            </w:r>
          </w:p>
        </w:tc>
      </w:tr>
      <w:tr>
        <w:trPr/>
        <w:tc>
          <w:tcPr>
            <w:tcW w:w="182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Global </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8 </w:t>
            </w:r>
          </w:p>
        </w:tc>
        <w:tc>
          <w:tcPr>
            <w:tcW w:w="101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7.50 EH/s</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8.60 EH/s</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1.46 EH/s</w:t>
            </w:r>
          </w:p>
        </w:tc>
        <w:tc>
          <w:tcPr>
            <w:tcW w:w="98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10.06 EH/s</w:t>
            </w:r>
          </w:p>
        </w:tc>
      </w:tr>
      <w:tr>
        <w:trPr/>
        <w:tc>
          <w:tcPr>
            <w:tcW w:w="18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America</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10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3.63 EH/s</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4.24 EH/s</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0.47 EH/s</w:t>
            </w:r>
          </w:p>
        </w:tc>
        <w:tc>
          <w:tcPr>
            <w:tcW w:w="9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4.71 EH/s</w:t>
            </w:r>
          </w:p>
        </w:tc>
      </w:tr>
      <w:tr>
        <w:trPr/>
        <w:tc>
          <w:tcPr>
            <w:tcW w:w="18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Canada</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w:t>
            </w:r>
          </w:p>
        </w:tc>
        <w:tc>
          <w:tcPr>
            <w:tcW w:w="10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0.02 EH/s</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0.02 EH/s</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 EH/s</w:t>
            </w:r>
          </w:p>
        </w:tc>
        <w:tc>
          <w:tcPr>
            <w:tcW w:w="9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0.02 EH/s</w:t>
            </w:r>
          </w:p>
        </w:tc>
      </w:tr>
      <w:tr>
        <w:trPr/>
        <w:tc>
          <w:tcPr>
            <w:tcW w:w="18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Ethiopia</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2 </w:t>
            </w:r>
          </w:p>
        </w:tc>
        <w:tc>
          <w:tcPr>
            <w:tcW w:w="10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3.75 EH/s</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4.22 EH/s</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0.99 EH/s</w:t>
            </w:r>
          </w:p>
        </w:tc>
        <w:tc>
          <w:tcPr>
            <w:tcW w:w="9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5.21 EH/s</w:t>
            </w:r>
          </w:p>
        </w:tc>
      </w:tr>
      <w:tr>
        <w:trPr/>
        <w:tc>
          <w:tcPr>
            <w:tcW w:w="18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Middle East</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w:t>
            </w:r>
          </w:p>
        </w:tc>
        <w:tc>
          <w:tcPr>
            <w:tcW w:w="10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0.04 EH/s</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0.04 EH/s</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 EH/s</w:t>
            </w:r>
          </w:p>
        </w:tc>
        <w:tc>
          <w:tcPr>
            <w:tcW w:w="9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0.04 EH/s</w:t>
            </w:r>
          </w:p>
        </w:tc>
      </w:tr>
      <w:tr>
        <w:trPr/>
        <w:tc>
          <w:tcPr>
            <w:tcW w:w="18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Malaysia</w:t>
            </w:r>
          </w:p>
        </w:tc>
        <w:tc>
          <w:tcPr>
            <w:tcW w:w="1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10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0.06 EH/s</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0.08 EH/s</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 EH/s</w:t>
            </w:r>
          </w:p>
        </w:tc>
        <w:tc>
          <w:tcPr>
            <w:tcW w:w="9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0.08 EH/s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i/>
              </w:rPr>
            </w:pPr>
            <w:r>
              <w:rPr>
                <w:i/>
              </w:rPr>
              <w:t>4.</w:t>
            </w:r>
          </w:p>
        </w:tc>
        <w:tc>
          <w:tcPr>
            <w:tcW w:w="10001" w:type="dxa"/>
            <w:tcBorders/>
            <w:vAlign w:val="center"/>
          </w:tcPr>
          <w:p>
            <w:pPr>
              <w:pStyle w:val="TableContents"/>
              <w:bidi w:val="0"/>
              <w:spacing w:before="0" w:after="283"/>
              <w:jc w:val="both"/>
              <w:rPr>
                <w:i/>
              </w:rPr>
            </w:pPr>
            <w:r>
              <w:rPr>
                <w:i/>
              </w:rPr>
              <w:t>Defined as the amount of computing power that could theoretically be generated if all mining machines that have been energized are currently in operation including mining machines that may be temporarily offline.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i/>
              </w:rPr>
            </w:pPr>
            <w:r>
              <w:rPr>
                <w:i/>
              </w:rPr>
              <w:t>5.</w:t>
            </w:r>
          </w:p>
        </w:tc>
        <w:tc>
          <w:tcPr>
            <w:tcW w:w="10001" w:type="dxa"/>
            <w:tcBorders/>
            <w:vAlign w:val="center"/>
          </w:tcPr>
          <w:p>
            <w:pPr>
              <w:pStyle w:val="TableContents"/>
              <w:bidi w:val="0"/>
              <w:spacing w:before="0" w:after="283"/>
              <w:jc w:val="both"/>
              <w:rPr>
                <w:i/>
              </w:rPr>
            </w:pPr>
            <w:r>
              <w:rPr>
                <w:i/>
              </w:rPr>
              <w:t>Defined as the sum of Energized Computing Power and computing power that has been installed but not yet energized, if any.</w:t>
            </w:r>
          </w:p>
        </w:tc>
      </w:tr>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i/>
              </w:rPr>
            </w:pPr>
            <w:r>
              <w:rPr>
                <w:i/>
              </w:rPr>
              <w:t>6.</w:t>
            </w:r>
          </w:p>
        </w:tc>
        <w:tc>
          <w:tcPr>
            <w:tcW w:w="10001" w:type="dxa"/>
            <w:tcBorders/>
            <w:vAlign w:val="center"/>
          </w:tcPr>
          <w:p>
            <w:pPr>
              <w:pStyle w:val="TableContents"/>
              <w:bidi w:val="0"/>
              <w:spacing w:before="0" w:after="283"/>
              <w:jc w:val="both"/>
              <w:rPr>
                <w:i/>
              </w:rPr>
            </w:pPr>
            <w:r>
              <w:rPr>
                <w:i/>
              </w:rPr>
              <w:t>Defined as the amount of computing power that has been delivered to the country where each mining project is located in but not yet installed.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i/>
              </w:rPr>
            </w:pPr>
            <w:r>
              <w:rPr>
                <w:i/>
              </w:rPr>
              <w:t>7.</w:t>
            </w:r>
          </w:p>
        </w:tc>
        <w:tc>
          <w:tcPr>
            <w:tcW w:w="10001" w:type="dxa"/>
            <w:tcBorders/>
            <w:vAlign w:val="center"/>
          </w:tcPr>
          <w:p>
            <w:pPr>
              <w:pStyle w:val="TableContents"/>
              <w:bidi w:val="0"/>
              <w:spacing w:before="0" w:after="283"/>
              <w:jc w:val="both"/>
              <w:rPr>
                <w:i/>
              </w:rPr>
            </w:pPr>
            <w:r>
              <w:rPr>
                <w:i/>
              </w:rPr>
              <w:t>Defined as the sum of Installed Computing Power and Expected Computing Power.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Corporate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Bitfury Orders Avalon® ASIC Kits for North American Infrastructure Upgrade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2025, Canaan announced that it had collaborated with Bitfury on its Avalon® ASIC-powered upgrade kits to enhance up to 10MW of existing mining capacity at Bitfury’s North American facility. The order builds on a strategic relationship that began in July 2024, following Canaan’s prior delivery of 4,500 Avalon® A14 miners, and reflects a joint R&amp;D effort that combines Canaan’s latest ASIC technology with Bitfury’s infrastructure expertise. By repurposing existing systems with Avalon® ASIC Kit, Bitfury can reduce capital expenditures and electronic waste while achieving greater efficiency and competitiveness, underscoring both companies’ commitment to sustainable innovation, cost optimization, and leadership in the North American mining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 with Luxor to Expand Institutional Miner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Canaan announced a partnership with Luxor Technology Corporation (“Luxor”) to provide flexible financing solutions, potentially making it easier for customers to acquire Avalon® mining machines. Through this partnership, Luxor will directly offer its mining customers non-dilutive financing at highly competitive rates with low collateral requirements, which could lead to increased institutional adoption and capital deployment. The partnership already facilitated the sale of more than 5,000 Avalon® A15 Pro bitcoin mining machines in August to a leading U.S.-based institutional bitcoin miner. Both Canaan and Luxor believe that this transaction could enable future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under the brand name Avalon. In 2019, Canaan completed its initial public offering on the Nasdaq Global Market. To learn more about Canaan, please visit https://www.canaan.io/.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such as expectations with regard to revenue or mining hash rate deployment,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the ability of the Company to execute against its goals,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changing macroeconomic and geopolitical conditions, including evolving international trade policies and the implementation of increased tariffs, import restrictions, and retaliatory trade actions;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w:t>
        <w:br/>
        <w:t>Xi Zhang</w:t>
        <w:br/>
        <w:t xml:space="preserve">Email: </w:t>
      </w:r>
      <w:r>
        <w:rPr>
          <w:rFonts w:ascii="Times New Roman;Times;Serif" w:hAnsi="Times New Roman;Times;Serif"/>
          <w:b w:val="false"/>
          <w:i w:val="false"/>
          <w:caps w:val="false"/>
          <w:smallCaps w:val="false"/>
          <w:sz w:val="20"/>
          <w:u w:val="single"/>
        </w:rPr>
        <w:t>IR@canaan-creative.com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Arnell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canaan@christensencomms.com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1531</Words>
  <Characters>9024</Characters>
  <CharactersWithSpaces>10524</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