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346" w:type="dxa"/>
        <w:jc w:val="left"/>
        <w:tblInd w:w="0" w:type="dxa"/>
        <w:tblLayout w:type="fixed"/>
        <w:tblCellMar>
          <w:top w:w="28" w:type="dxa"/>
          <w:left w:w="28" w:type="dxa"/>
          <w:bottom w:w="28" w:type="dxa"/>
          <w:right w:w="28" w:type="dxa"/>
        </w:tblCellMar>
      </w:tblPr>
      <w:tblGrid>
        <w:gridCol w:w="6346"/>
      </w:tblGrid>
      <w:tr>
        <w:trPr/>
        <w:tc>
          <w:tcPr>
            <w:tcW w:w="634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34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346" w:type="dxa"/>
            <w:tcBorders/>
            <w:vAlign w:val="center"/>
          </w:tcPr>
          <w:p>
            <w:pPr>
              <w:pStyle w:val="TableContents"/>
              <w:bidi w:val="0"/>
              <w:spacing w:before="0" w:after="0"/>
              <w:jc w:val="left"/>
              <w:rPr/>
            </w:pPr>
            <w:r>
              <w:rPr/>
              <w:t xml:space="preserve">UNDER THE SECURITIES EXCHANGE ACT OF 1934 </w:t>
            </w:r>
          </w:p>
        </w:tc>
      </w:tr>
      <w:tr>
        <w:trPr/>
        <w:tc>
          <w:tcPr>
            <w:tcW w:w="6346" w:type="dxa"/>
            <w:tcBorders/>
            <w:vAlign w:val="center"/>
          </w:tcPr>
          <w:p>
            <w:pPr>
              <w:pStyle w:val="TableContents"/>
              <w:bidi w:val="0"/>
              <w:spacing w:before="0" w:after="283"/>
              <w:jc w:val="left"/>
              <w:rPr>
                <w:sz w:val="4"/>
                <w:szCs w:val="4"/>
              </w:rPr>
            </w:pPr>
            <w:r>
              <w:rPr>
                <w:sz w:val="4"/>
                <w:szCs w:val="4"/>
              </w:rPr>
            </w:r>
          </w:p>
        </w:tc>
      </w:tr>
      <w:tr>
        <w:trPr/>
        <w:tc>
          <w:tcPr>
            <w:tcW w:w="6346" w:type="dxa"/>
            <w:tcBorders/>
            <w:vAlign w:val="center"/>
          </w:tcPr>
          <w:p>
            <w:pPr>
              <w:pStyle w:val="TableContents"/>
              <w:bidi w:val="0"/>
              <w:spacing w:before="0" w:after="0"/>
              <w:jc w:val="center"/>
              <w:rPr>
                <w:b/>
                <w:color w:val="0000FF"/>
              </w:rPr>
            </w:pPr>
            <w:r>
              <w:rPr>
                <w:b/>
                <w:color w:val="0000FF"/>
              </w:rPr>
              <w:t>Canaan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346" w:type="dxa"/>
            <w:tcBorders/>
            <w:vAlign w:val="center"/>
          </w:tcPr>
          <w:p>
            <w:pPr>
              <w:pStyle w:val="TableContents"/>
              <w:bidi w:val="0"/>
              <w:spacing w:before="0" w:after="0"/>
              <w:jc w:val="center"/>
              <w:rPr>
                <w:b/>
                <w:color w:val="0000FF"/>
              </w:rPr>
            </w:pPr>
            <w:r>
              <w:rPr>
                <w:b/>
                <w:color w:val="0000FF"/>
              </w:rPr>
              <w:t>Class A ordinary shares, par value US$0.00000005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346" w:type="dxa"/>
            <w:tcBorders/>
            <w:vAlign w:val="center"/>
          </w:tcPr>
          <w:p>
            <w:pPr>
              <w:pStyle w:val="TableContents"/>
              <w:bidi w:val="0"/>
              <w:spacing w:before="0" w:after="0"/>
              <w:jc w:val="center"/>
              <w:rPr>
                <w:b/>
                <w:color w:val="0000FF"/>
              </w:rPr>
            </w:pPr>
            <w:r>
              <w:rPr>
                <w:b/>
                <w:color w:val="0000FF"/>
              </w:rPr>
              <w:t>134748102</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346" w:type="dxa"/>
            <w:tcBorders/>
            <w:vAlign w:val="center"/>
          </w:tcPr>
          <w:p>
            <w:pPr>
              <w:pStyle w:val="TableContents"/>
              <w:bidi w:val="0"/>
              <w:spacing w:before="0" w:after="0"/>
              <w:jc w:val="center"/>
              <w:rPr>
                <w:b/>
                <w:color w:val="0000FF"/>
              </w:rPr>
            </w:pPr>
            <w:r>
              <w:rPr>
                <w:b/>
                <w:color w:val="0000FF"/>
              </w:rPr>
              <w:t>02/19/2026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134748102</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Cipher Digital Inc.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806,439,900.00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806,439,900.00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806,439,900.00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134748102</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Cipher Mining Technologies Inc.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806,439,900.00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806,439,900.00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806,439,900.00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Canaan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28 Ayer Rajah Crescent # 06-08, Singapore 139959</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Cipher Digital Inc. and Cipher Mining Technologies Inc. (together, the "Reporting Persons"). This Statement relates to Class A ordinary shares held directly by Cipher Black Pearl LLC and Cipher Mining Technologies Inc. Cipher Black Pearl LLC is indirectly owned by Cipher Mining Technologies Inc. Cipher Mining Technologies Inc. is a wholly owned subsidiary of Cipher Digital Inc. Accordingly, Cipher Mining Technologies Inc. and Cipher Digital Inc. may each be deemed to beneficially own the Class A ordinary shares reported herein. There is no CUSIP number assigned to the Class A ordinary shares. CUSIP number 134748102 is assigned to the Issuer's American Depositary Shares ("ADSs"). Each ADS represents 15 of the Issuer's Class A ordinary shares.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of each of the Reporting Persons is 1 Vanderbilt Avenue, Floor 54, New York, NY.</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Each Reporting Person is a Delaware corporation.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US$0.00000005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jc w:val="left"/>
              <w:rPr/>
            </w:pPr>
            <w:r>
              <w:rPr/>
              <w:t xml:space="preserve">CUSIP No.: </w:t>
            </w:r>
          </w:p>
          <w:p>
            <w:pPr>
              <w:pStyle w:val="TableContents"/>
              <w:bidi w:val="0"/>
              <w:spacing w:before="0" w:after="0"/>
              <w:jc w:val="left"/>
              <w:rPr/>
            </w:pPr>
            <w:r>
              <w:rPr/>
              <w:t>134748102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date hereof, each Reporting Person may be deemed the beneficial owner of 806,439,900 Class A ordinary shares, including 210,049,718 Class A ordinary shares held directly by Cipher Black Pearl LLC and 596,390,182 Class A ordinary shares held directly by Cipher Mining Technologies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the date hereof, each Reporting Person may be deemed the beneficial owner of approximately 7.7% of the Class A ordinary shares outstanding. The percentage set forth herein is calculated based on the sum of (i) 9,627,568,893 Class A ordinary shares outstanding as of December 31, 2025, as reported in Exhibit 99.1 to the Issuer's current report on Form 6-K filed with the Securities and Exchange Commission on February 10, 2026, and (ii) an aggregate 806,439,900 Class A ordinary shares that were issued to Cipher Black Pearl LLC and Cipher Mining Technologies Inc.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806,439,900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806,439,900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response to Item 2(a)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The response to Item 2(a)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Cipher Digital Inc.</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4"/>
        <w:gridCol w:w="4331"/>
      </w:tblGrid>
      <w:tr>
        <w:trPr/>
        <w:tc>
          <w:tcPr>
            <w:tcW w:w="58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William Iwaschuk</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William Iwaschuk, Co-President and Chief Legal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02/25/2026</w:t>
                  </w:r>
                </w:p>
              </w:tc>
            </w:tr>
          </w:tbl>
          <w:p>
            <w:pPr>
              <w:pStyle w:val="TableContents"/>
              <w:bidi w:val="0"/>
              <w:spacing w:before="0" w:after="283"/>
              <w:jc w:val="left"/>
              <w:rPr/>
            </w:pPr>
            <w:r>
              <w:rPr/>
            </w:r>
          </w:p>
        </w:tc>
        <w:tc>
          <w:tcPr>
            <w:tcW w:w="4331"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Cipher Mining Technologies Inc.</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William Iwaschuk</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William Iwaschuk, Co-President and Chief Legal Officer of Cipher Digital Inc., its parent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02/25/2026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5776" w:type="dxa"/>
        <w:jc w:val="left"/>
        <w:tblInd w:w="0" w:type="dxa"/>
        <w:tblLayout w:type="fixed"/>
        <w:tblCellMar>
          <w:top w:w="28" w:type="dxa"/>
          <w:left w:w="28" w:type="dxa"/>
          <w:bottom w:w="28" w:type="dxa"/>
          <w:right w:w="28" w:type="dxa"/>
        </w:tblCellMar>
      </w:tblPr>
      <w:tblGrid>
        <w:gridCol w:w="5776"/>
      </w:tblGrid>
      <w:tr>
        <w:trPr/>
        <w:tc>
          <w:tcPr>
            <w:tcW w:w="5776" w:type="dxa"/>
            <w:tcBorders/>
            <w:vAlign w:val="center"/>
          </w:tcPr>
          <w:p>
            <w:pPr>
              <w:pStyle w:val="TableContents"/>
              <w:bidi w:val="0"/>
              <w:spacing w:before="0" w:after="283"/>
              <w:jc w:val="center"/>
              <w:rPr>
                <w:b/>
              </w:rPr>
            </w:pPr>
            <w:r>
              <w:rPr>
                <w:b/>
              </w:rPr>
              <w:t xml:space="preserve">Exhibit Information </w:t>
            </w:r>
          </w:p>
        </w:tc>
      </w:tr>
      <w:tr>
        <w:trPr/>
        <w:tc>
          <w:tcPr>
            <w:tcW w:w="5776" w:type="dxa"/>
            <w:tcBorders/>
            <w:vAlign w:val="center"/>
          </w:tcPr>
          <w:p>
            <w:pPr>
              <w:pStyle w:val="TableContents"/>
              <w:bidi w:val="0"/>
              <w:spacing w:before="0" w:after="283"/>
              <w:jc w:val="left"/>
              <w:rPr/>
            </w:pPr>
            <w:r>
              <w:rPr/>
              <w:t>Exhibit 1: Joint Filing Agreement, dated February 25, 2026</w:t>
            </w:r>
          </w:p>
        </w:tc>
      </w:tr>
    </w:tbl>
    <w:p>
      <w:pPr>
        <w:pStyle w:val="TextBody"/>
        <w:bidi w:val="0"/>
        <w:spacing w:before="0" w:after="0"/>
        <w:jc w:val="right"/>
        <w:rPr/>
      </w:pPr>
      <w:bookmarkStart w:id="20" w:name="jointfilingagreement.htm"/>
      <w:bookmarkStart w:id="21" w:name="ksjointfilingagreement"/>
      <w:bookmarkEnd w:id="20"/>
      <w:bookmarkEnd w:id="21"/>
      <w:r>
        <w:rPr>
          <w:b/>
          <w:color w:val="000000"/>
          <w:sz w:val="20"/>
        </w:rPr>
        <w:t>EXHIBIT 1</w:t>
      </w:r>
      <w:r>
        <w:rPr/>
        <w:t xml:space="preserve"> </w:t>
      </w:r>
      <w:r>
        <w:br w:type="page"/>
      </w:r>
    </w:p>
    <w:p>
      <w:pPr>
        <w:pStyle w:val="TextBody"/>
        <w:bidi w:val="0"/>
        <w:spacing w:before="0" w:after="0"/>
        <w:jc w:val="right"/>
        <w:rPr/>
      </w:pPr>
      <w:r>
        <w:rPr/>
        <w:t xml:space="preserve">  </w:t>
      </w:r>
    </w:p>
    <w:p>
      <w:pPr>
        <w:pStyle w:val="TextBody"/>
        <w:bidi w:val="0"/>
        <w:spacing w:before="0" w:after="0"/>
        <w:jc w:val="center"/>
        <w:rPr/>
      </w:pPr>
      <w:r>
        <w:rPr>
          <w:b/>
          <w:color w:val="000000"/>
          <w:sz w:val="20"/>
        </w:rPr>
        <w:t>JOINT FILING AGREEMENT</w:t>
      </w:r>
      <w:r>
        <w:rPr/>
        <w:t xml:space="preserve"> </w:t>
      </w:r>
    </w:p>
    <w:p>
      <w:pPr>
        <w:pStyle w:val="TextBody"/>
        <w:bidi w:val="0"/>
        <w:spacing w:before="0" w:after="0"/>
        <w:jc w:val="center"/>
        <w:rPr/>
      </w:pPr>
      <w:r>
        <w:rPr/>
        <w:t xml:space="preserve">  </w:t>
      </w:r>
    </w:p>
    <w:p>
      <w:pPr>
        <w:pStyle w:val="TextBody"/>
        <w:bidi w:val="0"/>
        <w:spacing w:before="0" w:after="0"/>
        <w:ind w:left="0" w:right="0" w:firstLine="720"/>
        <w:jc w:val="left"/>
        <w:rPr/>
      </w:pPr>
      <w:r>
        <w:rPr>
          <w:color w:val="000000"/>
          <w:sz w:val="22"/>
        </w:rPr>
        <w:t>The undersigned hereby agree that the statement on Schedule 13G with respect to the Class A ordinary shares,</w:t>
      </w:r>
      <w:r>
        <w:rPr>
          <w:color w:val="000000"/>
        </w:rPr>
        <w:t> </w:t>
      </w:r>
      <w:r>
        <w:rPr>
          <w:color w:val="000000"/>
          <w:sz w:val="22"/>
        </w:rPr>
        <w:t>par value US$0.00000005 per share, of Canaan Inc., dated as of February 25, 2026, is, and any amendments thereto (including amendments on Schedule 13D) signed by each of the undersigned shall be, filed on behalf of each of us pursuant to and in accordance with the provisions of Rule 13d-1(k) under the Securities Exchange Act of 1934, as amended.</w:t>
      </w:r>
      <w:r>
        <w:rPr/>
        <w:t xml:space="preserve"> </w:t>
      </w:r>
    </w:p>
    <w:p>
      <w:pPr>
        <w:pStyle w:val="TextBody"/>
        <w:bidi w:val="0"/>
        <w:spacing w:before="0" w:after="0"/>
        <w:jc w:val="left"/>
        <w:rPr/>
      </w:pPr>
      <w:r>
        <w:rPr/>
        <w:t xml:space="preserve">  </w:t>
      </w:r>
    </w:p>
    <w:p>
      <w:pPr>
        <w:pStyle w:val="TextBody"/>
        <w:bidi w:val="0"/>
        <w:spacing w:before="0" w:after="0"/>
        <w:jc w:val="both"/>
        <w:rPr/>
      </w:pPr>
      <w:r>
        <w:rPr/>
        <w:t xml:space="preserve">  </w:t>
      </w:r>
    </w:p>
    <w:tbl>
      <w:tblPr>
        <w:tblW w:w="8788" w:type="dxa"/>
        <w:jc w:val="left"/>
        <w:tblInd w:w="0" w:type="dxa"/>
        <w:tblLayout w:type="fixed"/>
        <w:tblCellMar>
          <w:top w:w="28" w:type="dxa"/>
          <w:left w:w="28" w:type="dxa"/>
          <w:bottom w:w="28" w:type="dxa"/>
          <w:right w:w="28" w:type="dxa"/>
        </w:tblCellMar>
      </w:tblPr>
      <w:tblGrid>
        <w:gridCol w:w="221"/>
        <w:gridCol w:w="1186"/>
        <w:gridCol w:w="7381"/>
      </w:tblGrid>
      <w:tr>
        <w:trPr/>
        <w:tc>
          <w:tcPr>
            <w:tcW w:w="22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7381"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8567" w:type="dxa"/>
            <w:gridSpan w:val="2"/>
            <w:tcBorders/>
            <w:tcMar>
              <w:top w:w="0" w:type="dxa"/>
              <w:left w:w="0" w:type="dxa"/>
              <w:bottom w:w="0" w:type="dxa"/>
              <w:right w:w="0" w:type="dxa"/>
            </w:tcMar>
            <w:vAlign w:val="center"/>
          </w:tcPr>
          <w:p>
            <w:pPr>
              <w:pStyle w:val="TableContents"/>
              <w:bidi w:val="0"/>
              <w:spacing w:before="0" w:after="0"/>
              <w:jc w:val="left"/>
              <w:rPr/>
            </w:pPr>
            <w:r>
              <w:rPr>
                <w:b/>
                <w:color w:val="000000"/>
                <w:sz w:val="20"/>
              </w:rPr>
              <w:t>Cipher Digital Inc.</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186" w:type="dxa"/>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b/>
                <w:color w:val="000000"/>
                <w:sz w:val="20"/>
              </w:rPr>
              <w:t>Signature:</w:t>
            </w:r>
            <w:r>
              <w:rPr/>
              <w:t xml:space="preserve"> </w:t>
            </w:r>
          </w:p>
        </w:tc>
        <w:tc>
          <w:tcPr>
            <w:tcW w:w="7381" w:type="dxa"/>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color w:val="000000"/>
                <w:sz w:val="20"/>
              </w:rPr>
              <w:t>/s/ William Iwaschuk</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186" w:type="dxa"/>
            <w:tcBorders/>
            <w:tcMar>
              <w:top w:w="0" w:type="dxa"/>
              <w:left w:w="0" w:type="dxa"/>
              <w:bottom w:w="0" w:type="dxa"/>
              <w:right w:w="0" w:type="dxa"/>
            </w:tcMar>
            <w:vAlign w:val="center"/>
          </w:tcPr>
          <w:p>
            <w:pPr>
              <w:pStyle w:val="TableContents"/>
              <w:bidi w:val="0"/>
              <w:spacing w:before="0" w:after="0"/>
              <w:jc w:val="left"/>
              <w:rPr/>
            </w:pPr>
            <w:r>
              <w:rPr>
                <w:b/>
                <w:color w:val="000000"/>
                <w:sz w:val="20"/>
              </w:rPr>
              <w:t>Name/Title:</w:t>
            </w:r>
            <w:r>
              <w:rPr/>
              <w:t xml:space="preserve"> </w:t>
            </w:r>
          </w:p>
        </w:tc>
        <w:tc>
          <w:tcPr>
            <w:tcW w:w="7381" w:type="dxa"/>
            <w:tcBorders/>
            <w:tcMar>
              <w:top w:w="0" w:type="dxa"/>
              <w:left w:w="0" w:type="dxa"/>
              <w:bottom w:w="0" w:type="dxa"/>
              <w:right w:w="0" w:type="dxa"/>
            </w:tcMar>
            <w:vAlign w:val="center"/>
          </w:tcPr>
          <w:p>
            <w:pPr>
              <w:pStyle w:val="TableContents"/>
              <w:bidi w:val="0"/>
              <w:spacing w:before="0" w:after="0"/>
              <w:jc w:val="left"/>
              <w:rPr/>
            </w:pPr>
            <w:r>
              <w:rPr>
                <w:color w:val="000000"/>
                <w:sz w:val="20"/>
              </w:rPr>
              <w:t>William Iwaschuk, Co-President and Chief Legal Officer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186" w:type="dxa"/>
            <w:tcBorders/>
            <w:tcMar>
              <w:top w:w="0" w:type="dxa"/>
              <w:left w:w="0" w:type="dxa"/>
              <w:bottom w:w="0" w:type="dxa"/>
              <w:right w:w="0" w:type="dxa"/>
            </w:tcMar>
            <w:vAlign w:val="center"/>
          </w:tcPr>
          <w:p>
            <w:pPr>
              <w:pStyle w:val="TableContents"/>
              <w:bidi w:val="0"/>
              <w:spacing w:before="0" w:after="0"/>
              <w:jc w:val="left"/>
              <w:rPr/>
            </w:pPr>
            <w:r>
              <w:rPr>
                <w:b/>
                <w:color w:val="000000"/>
                <w:sz w:val="20"/>
              </w:rPr>
              <w:t>Date:</w:t>
            </w:r>
            <w:r>
              <w:rPr/>
              <w:t xml:space="preserve"> </w:t>
            </w:r>
          </w:p>
        </w:tc>
        <w:tc>
          <w:tcPr>
            <w:tcW w:w="7381" w:type="dxa"/>
            <w:tcBorders/>
            <w:tcMar>
              <w:top w:w="0" w:type="dxa"/>
              <w:left w:w="0" w:type="dxa"/>
              <w:bottom w:w="0" w:type="dxa"/>
              <w:right w:w="0" w:type="dxa"/>
            </w:tcMar>
            <w:vAlign w:val="center"/>
          </w:tcPr>
          <w:p>
            <w:pPr>
              <w:pStyle w:val="TableContents"/>
              <w:bidi w:val="0"/>
              <w:spacing w:before="0" w:after="0"/>
              <w:jc w:val="left"/>
              <w:rPr/>
            </w:pPr>
            <w:r>
              <w:rPr>
                <w:color w:val="000000"/>
                <w:sz w:val="20"/>
              </w:rPr>
              <w:t>02/25/2026</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738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8567" w:type="dxa"/>
            <w:gridSpan w:val="2"/>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b/>
                <w:color w:val="000000"/>
                <w:sz w:val="20"/>
              </w:rPr>
              <w:t>Cipher Mining Technologies Inc.</w:t>
            </w:r>
            <w:r>
              <w:rPr/>
              <w:t xml:space="preserve"> </w:t>
            </w:r>
          </w:p>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186" w:type="dxa"/>
            <w:tcBorders/>
            <w:tcMar>
              <w:top w:w="0" w:type="dxa"/>
              <w:left w:w="0" w:type="dxa"/>
              <w:bottom w:w="0" w:type="dxa"/>
              <w:right w:w="0" w:type="dxa"/>
            </w:tcMar>
            <w:vAlign w:val="center"/>
          </w:tcPr>
          <w:p>
            <w:pPr>
              <w:pStyle w:val="TableContents"/>
              <w:bidi w:val="0"/>
              <w:spacing w:before="0" w:after="0"/>
              <w:jc w:val="left"/>
              <w:rPr/>
            </w:pPr>
            <w:r>
              <w:rPr>
                <w:b/>
                <w:color w:val="000000"/>
                <w:sz w:val="20"/>
              </w:rPr>
              <w:t>Signature:</w:t>
            </w:r>
            <w:r>
              <w:rPr/>
              <w:t xml:space="preserve"> </w:t>
            </w:r>
          </w:p>
        </w:tc>
        <w:tc>
          <w:tcPr>
            <w:tcW w:w="7381" w:type="dxa"/>
            <w:tcBorders/>
            <w:tcMar>
              <w:top w:w="0" w:type="dxa"/>
              <w:left w:w="0" w:type="dxa"/>
              <w:bottom w:w="0" w:type="dxa"/>
              <w:right w:w="0" w:type="dxa"/>
            </w:tcMar>
            <w:vAlign w:val="center"/>
          </w:tcPr>
          <w:p>
            <w:pPr>
              <w:pStyle w:val="TableContents"/>
              <w:bidi w:val="0"/>
              <w:spacing w:before="0" w:after="0"/>
              <w:jc w:val="left"/>
              <w:rPr/>
            </w:pPr>
            <w:r>
              <w:rPr>
                <w:color w:val="000000"/>
                <w:sz w:val="20"/>
              </w:rPr>
              <w:t>/s/ William Iwaschuk</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186" w:type="dxa"/>
            <w:tcBorders/>
            <w:tcMar>
              <w:top w:w="0" w:type="dxa"/>
              <w:left w:w="0" w:type="dxa"/>
              <w:bottom w:w="0" w:type="dxa"/>
              <w:right w:w="0" w:type="dxa"/>
            </w:tcMar>
            <w:vAlign w:val="center"/>
          </w:tcPr>
          <w:p>
            <w:pPr>
              <w:pStyle w:val="TableContents"/>
              <w:bidi w:val="0"/>
              <w:spacing w:before="0" w:after="0"/>
              <w:jc w:val="left"/>
              <w:rPr/>
            </w:pPr>
            <w:r>
              <w:rPr>
                <w:b/>
                <w:color w:val="000000"/>
                <w:sz w:val="20"/>
              </w:rPr>
              <w:t>Name/Title:</w:t>
            </w:r>
            <w:r>
              <w:rPr/>
              <w:t xml:space="preserve"> </w:t>
            </w:r>
          </w:p>
        </w:tc>
        <w:tc>
          <w:tcPr>
            <w:tcW w:w="7381" w:type="dxa"/>
            <w:tcBorders/>
            <w:tcMar>
              <w:top w:w="0" w:type="dxa"/>
              <w:left w:w="0" w:type="dxa"/>
              <w:bottom w:w="0" w:type="dxa"/>
              <w:right w:w="0" w:type="dxa"/>
            </w:tcMar>
            <w:vAlign w:val="center"/>
          </w:tcPr>
          <w:p>
            <w:pPr>
              <w:pStyle w:val="TableContents"/>
              <w:bidi w:val="0"/>
              <w:spacing w:before="0" w:after="0"/>
              <w:jc w:val="left"/>
              <w:rPr/>
            </w:pPr>
            <w:r>
              <w:rPr>
                <w:color w:val="000000"/>
                <w:sz w:val="20"/>
              </w:rPr>
              <w:t>William Iwaschuk, Co-President and Chief Legal Officer of Cipher Digital Inc., its parent</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186" w:type="dxa"/>
            <w:tcBorders/>
            <w:tcMar>
              <w:top w:w="0" w:type="dxa"/>
              <w:left w:w="0" w:type="dxa"/>
              <w:bottom w:w="0" w:type="dxa"/>
              <w:right w:w="0" w:type="dxa"/>
            </w:tcMar>
            <w:vAlign w:val="center"/>
          </w:tcPr>
          <w:p>
            <w:pPr>
              <w:pStyle w:val="TableContents"/>
              <w:bidi w:val="0"/>
              <w:spacing w:before="0" w:after="0"/>
              <w:jc w:val="left"/>
              <w:rPr/>
            </w:pPr>
            <w:r>
              <w:rPr>
                <w:b/>
                <w:color w:val="000000"/>
                <w:sz w:val="20"/>
              </w:rPr>
              <w:t>Date:</w:t>
            </w:r>
            <w:r>
              <w:rPr/>
              <w:t xml:space="preserve"> </w:t>
            </w:r>
          </w:p>
        </w:tc>
        <w:tc>
          <w:tcPr>
            <w:tcW w:w="7381" w:type="dxa"/>
            <w:tcBorders/>
            <w:tcMar>
              <w:top w:w="0" w:type="dxa"/>
              <w:left w:w="0" w:type="dxa"/>
              <w:bottom w:w="0" w:type="dxa"/>
              <w:right w:w="0" w:type="dxa"/>
            </w:tcMar>
            <w:vAlign w:val="center"/>
          </w:tcPr>
          <w:p>
            <w:pPr>
              <w:pStyle w:val="TableContents"/>
              <w:bidi w:val="0"/>
              <w:spacing w:before="0" w:after="0"/>
              <w:jc w:val="left"/>
              <w:rPr/>
            </w:pPr>
            <w:r>
              <w:rPr>
                <w:color w:val="000000"/>
                <w:sz w:val="20"/>
              </w:rPr>
              <w:t>02/25/2026</w:t>
            </w:r>
            <w:r>
              <w:rPr/>
              <w:t xml:space="preserve"> </w:t>
            </w:r>
          </w:p>
        </w:tc>
      </w:tr>
    </w:tbl>
    <w:p>
      <w:pPr>
        <w:pStyle w:val="TextBody"/>
        <w:bidi w:val="0"/>
        <w:spacing w:before="0" w:after="24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1438</Words>
  <Characters>7553</Characters>
  <CharactersWithSpaces>8992</CharactersWithSpaces>
  <Paragraphs>250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