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31d1_6k.htm"/>
      <w:bookmarkStart w:id="1" w:name="kstm262043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001-39127</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8065" w:type="dxa"/>
        <w:jc w:val="left"/>
        <w:tblInd w:w="0" w:type="dxa"/>
        <w:tblLayout w:type="fixed"/>
        <w:tblCellMar>
          <w:top w:w="0" w:type="dxa"/>
          <w:left w:w="0" w:type="dxa"/>
          <w:bottom w:w="28" w:type="dxa"/>
          <w:right w:w="0" w:type="dxa"/>
        </w:tblCellMar>
      </w:tblPr>
      <w:tblGrid>
        <w:gridCol w:w="1205"/>
        <w:gridCol w:w="60"/>
        <w:gridCol w:w="680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80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0431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6800" w:type="dxa"/>
            <w:tcBorders/>
            <w:tcMar>
              <w:bottom w:w="0" w:type="dxa"/>
            </w:tcMar>
            <w:vAlign w:val="center"/>
          </w:tcPr>
          <w:p>
            <w:pPr>
              <w:pStyle w:val="TableContents"/>
              <w:bidi w:val="0"/>
              <w:spacing w:before="0" w:after="283"/>
              <w:jc w:val="both"/>
              <w:rPr/>
            </w:pPr>
            <w:hyperlink w:anchor="tm2620431d1_ex99-1.htm">
              <w:r>
                <w:rPr>
                  <w:rStyle w:val="InternetLink"/>
                  <w:rFonts w:ascii="Times New Roman;Times;Serif" w:hAnsi="Times New Roman;Times;Serif"/>
                  <w:sz w:val="20"/>
                </w:rPr>
                <w:t>Canaan Inc. Provides June 2026 Bitcoin Production and Mining Operation Updates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/s/ Nangeng Zhang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14,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0431d1_ex99-1.htm"/>
      <w:bookmarkStart w:id="3" w:name="kstm2620431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383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6667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Provides June 2026 Bitcoin Production and Mining Operation Updates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venture hashrate recovers significantly, approaches full-installed capacity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14, 2026 /PRNewswire/ -- Canaan Inc. (NASDAQ: CAN) (“Canaan” or the “Company”), an innovator in crypto mining, today released its unaudited bitcoin mining update for the month ending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June was a month of consolidation and recovery, and we remained focused on disciplined execution across our mining operations," said Nangeng Zhang, chairman and chief executive officer of Canaan. "During the month, we produced 64 BTC. Despite grid maintenance at one of our facilities, after accounting for operating costs and the receipt of BTC as payment for our miner sales in June, we recorded our strongest monthly increase of 2026, adding 49 BTC to our cryptocurrency treasury. Our total cryptocurrency holdings reached a record 1,915 BTC and 3,952 ETH. Meanwhile, we maintained our North American non-JV fleet efficiency at 17.9 J/TH, underscoring our disciplined approach to operational excellence and cost management despite challenging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 continued, “We’d also like to thank our joint venture partner, WindHQ, for their strong execution in restoring operations following the wildfire-related disruptions that affected our Alborz facilities in May. By June, our joint venture had substantially resumed operating, a strong recovery that we're proud to see reflected in this month's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committed to advancing our vertically integrated strategy and capturing opportunities emerging at the intersection of energy and compute. We believe our integrated capabilities provide a strong foundation for long-term growth. Disciplined execution remains the foundation of our strategy as we expand our capabilities across bitcoin mining and broader compute infrastructure to drive sustainable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2026 Bitcoin Mining Updates (unaudited)</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10" w:type="dxa"/>
        <w:tblLayout w:type="fixed"/>
        <w:tblCellMar>
          <w:top w:w="28" w:type="dxa"/>
          <w:left w:w="108" w:type="dxa"/>
          <w:bottom w:w="28" w:type="dxa"/>
          <w:right w:w="108" w:type="dxa"/>
        </w:tblCellMar>
      </w:tblPr>
      <w:tblGrid>
        <w:gridCol w:w="5900"/>
        <w:gridCol w:w="2690"/>
      </w:tblGrid>
      <w:tr>
        <w:trPr/>
        <w:tc>
          <w:tcPr>
            <w:tcW w:w="59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26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(Rounded Numbers)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Bitcoins Mined During the Month</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 BTC</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Bitcoins and ETH Owned by Canaan Inc. on Balance Sheet</w:t>
            </w:r>
            <w:r>
              <w:rPr>
                <w:rFonts w:ascii="Times New Roman;Times;Serif" w:hAnsi="Times New Roman;Times;Serif"/>
                <w:position w:val="7"/>
                <w:sz w:val="16"/>
                <w:sz w:val="20"/>
              </w:rPr>
              <w:t>1</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1,915 BTC</w:t>
              <w:br/>
              <w:t>3,952 ETH</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Installed Hashrate (EH/s)</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Non-JV: 10.05 EH/s</w:t>
              <w:br/>
              <w:t>JV</w:t>
            </w:r>
            <w:r>
              <w:rPr>
                <w:position w:val="7"/>
                <w:sz w:val="16"/>
                <w:sz w:val="20"/>
              </w:rPr>
              <w:t>4</w:t>
            </w:r>
            <w:r>
              <w:rPr>
                <w:sz w:val="20"/>
              </w:rPr>
              <w:t>: 4.81 EH/s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Operating Hashrate (EH/s)</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Non-JV: 3.36 EH/s</w:t>
              <w:br/>
              <w:t>JV</w:t>
            </w:r>
            <w:r>
              <w:rPr>
                <w:position w:val="7"/>
                <w:sz w:val="16"/>
                <w:sz w:val="20"/>
              </w:rPr>
              <w:t>4</w:t>
            </w:r>
            <w:r>
              <w:rPr>
                <w:sz w:val="20"/>
              </w:rPr>
              <w:t>: 4.09 EH/s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Revenue Split</w:t>
            </w:r>
            <w:r>
              <w:rPr>
                <w:rFonts w:ascii="Times New Roman;Times;Serif" w:hAnsi="Times New Roman;Times;Serif"/>
                <w:position w:val="7"/>
                <w:sz w:val="16"/>
                <w:sz w:val="20"/>
              </w:rPr>
              <w:t>2</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60.3% (excluding JV ownership)</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All-in Power Cost During the Month</w:t>
            </w:r>
            <w:r>
              <w:rPr>
                <w:rFonts w:ascii="Times New Roman;Times;Serif" w:hAnsi="Times New Roman;Times;Serif"/>
                <w:position w:val="7"/>
                <w:sz w:val="16"/>
                <w:sz w:val="20"/>
              </w:rPr>
              <w:t>3</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US$0.043/kWh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2026 Bitcoin Mining Infrastructure Updates (unaudited)</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10" w:type="dxa"/>
        <w:tblLayout w:type="fixed"/>
        <w:tblCellMar>
          <w:top w:w="28" w:type="dxa"/>
          <w:left w:w="108" w:type="dxa"/>
          <w:bottom w:w="28" w:type="dxa"/>
          <w:right w:w="108" w:type="dxa"/>
        </w:tblCellMar>
      </w:tblPr>
      <w:tblGrid>
        <w:gridCol w:w="3125"/>
        <w:gridCol w:w="1535"/>
        <w:gridCol w:w="1610"/>
        <w:gridCol w:w="1625"/>
      </w:tblGrid>
      <w:tr>
        <w:trPr/>
        <w:tc>
          <w:tcPr>
            <w:tcW w:w="31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 </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North America</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Non-North America</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Global</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Month-End Average Miner Efficiency</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Non-JV: 17.9 J/TH</w:t>
              <w:br/>
              <w:t>JV</w:t>
            </w:r>
            <w:r>
              <w:rPr>
                <w:position w:val="7"/>
                <w:sz w:val="16"/>
                <w:sz w:val="20"/>
              </w:rPr>
              <w:t>4</w:t>
            </w:r>
            <w:r>
              <w:rPr>
                <w:sz w:val="20"/>
              </w:rPr>
              <w:t>: 25.2 J/TH</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29.3 J/TH</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Non-JV: 23.7 J/TH</w:t>
              <w:br/>
              <w:t>JV</w:t>
            </w:r>
            <w:r>
              <w:rPr>
                <w:position w:val="7"/>
                <w:sz w:val="16"/>
                <w:sz w:val="20"/>
              </w:rPr>
              <w:t>4</w:t>
            </w:r>
            <w:r>
              <w:rPr>
                <w:sz w:val="20"/>
              </w:rPr>
              <w:t>: 25.2 J/TH</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Month-End Installed Power Capacity</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Non-JV: 88.7 MW</w:t>
              <w:br/>
              <w:t>JV</w:t>
            </w:r>
            <w:r>
              <w:rPr>
                <w:position w:val="7"/>
                <w:sz w:val="16"/>
                <w:sz w:val="20"/>
              </w:rPr>
              <w:t>4</w:t>
            </w:r>
            <w:r>
              <w:rPr>
                <w:sz w:val="20"/>
              </w:rPr>
              <w:t>: 120 MW</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157.5 MW</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Non-JV: 246.2 MW</w:t>
              <w:br/>
              <w:t>JV</w:t>
            </w:r>
            <w:r>
              <w:rPr>
                <w:position w:val="7"/>
                <w:sz w:val="16"/>
                <w:sz w:val="20"/>
              </w:rPr>
              <w:t>4</w:t>
            </w:r>
            <w:r>
              <w:rPr>
                <w:sz w:val="20"/>
              </w:rPr>
              <w:t>: 120 MW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i/>
                <w:sz w:val="20"/>
              </w:rPr>
            </w:pPr>
            <w:r>
              <w:rPr>
                <w:i/>
                <w:sz w:val="20"/>
              </w:rPr>
              <w:t>1.</w:t>
            </w:r>
          </w:p>
        </w:tc>
        <w:tc>
          <w:tcPr>
            <w:tcW w:w="10041" w:type="dxa"/>
            <w:tcBorders/>
            <w:vAlign w:val="center"/>
          </w:tcPr>
          <w:p>
            <w:pPr>
              <w:pStyle w:val="TableContents"/>
              <w:bidi w:val="0"/>
              <w:spacing w:before="0" w:after="283"/>
              <w:jc w:val="both"/>
              <w:rPr>
                <w:i/>
                <w:sz w:val="20"/>
              </w:rPr>
            </w:pPr>
            <w:r>
              <w:rPr>
                <w:i/>
                <w:sz w:val="20"/>
              </w:rPr>
              <w:t xml:space="preserve">Defined as the total number of bitcoins and ETH owned by the Company on its balance sheet, including any bitcoins and ETH receivable, excluding bitcoins and ETH that the Company has received as customer deposits.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i/>
                <w:sz w:val="20"/>
              </w:rPr>
            </w:pPr>
            <w:r>
              <w:rPr>
                <w:i/>
                <w:sz w:val="20"/>
              </w:rPr>
              <w:t>2.</w:t>
            </w:r>
          </w:p>
        </w:tc>
        <w:tc>
          <w:tcPr>
            <w:tcW w:w="10046" w:type="dxa"/>
            <w:tcBorders/>
            <w:vAlign w:val="center"/>
          </w:tcPr>
          <w:p>
            <w:pPr>
              <w:pStyle w:val="TableContents"/>
              <w:bidi w:val="0"/>
              <w:spacing w:before="0" w:after="283"/>
              <w:jc w:val="both"/>
              <w:rPr>
                <w:i/>
                <w:sz w:val="20"/>
              </w:rPr>
            </w:pPr>
            <w:r>
              <w:rPr>
                <w:i/>
                <w:sz w:val="20"/>
              </w:rPr>
              <w:t>Defined as the weighted average percentage that Canaan would receive from the total revenues generated according to the applicable joint mining arrangements if 100% of the mining machines consisting of Installed Computing Power (as defined below) were energized.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i/>
                <w:sz w:val="20"/>
              </w:rPr>
            </w:pPr>
            <w:r>
              <w:rPr>
                <w:i/>
                <w:sz w:val="20"/>
              </w:rPr>
              <w:t>3.</w:t>
            </w:r>
          </w:p>
        </w:tc>
        <w:tc>
          <w:tcPr>
            <w:tcW w:w="10026" w:type="dxa"/>
            <w:tcBorders/>
            <w:vAlign w:val="center"/>
          </w:tcPr>
          <w:p>
            <w:pPr>
              <w:pStyle w:val="TableContents"/>
              <w:bidi w:val="0"/>
              <w:spacing w:before="0" w:after="283"/>
              <w:jc w:val="both"/>
              <w:rPr>
                <w:i/>
                <w:sz w:val="20"/>
              </w:rPr>
            </w:pPr>
            <w:r>
              <w:rPr>
                <w:i/>
                <w:sz w:val="20"/>
              </w:rPr>
              <w:t>Defined as the weighted average cost of power if 100% of the mining machines consisting of Installed Computing Power were energized.</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i/>
                <w:sz w:val="20"/>
              </w:rPr>
            </w:pPr>
            <w:r>
              <w:rPr>
                <w:i/>
                <w:sz w:val="20"/>
              </w:rPr>
              <w:t>4.</w:t>
            </w:r>
          </w:p>
        </w:tc>
        <w:tc>
          <w:tcPr>
            <w:tcW w:w="10042" w:type="dxa"/>
            <w:tcBorders/>
            <w:vAlign w:val="center"/>
          </w:tcPr>
          <w:p>
            <w:pPr>
              <w:pStyle w:val="TableContents"/>
              <w:bidi w:val="0"/>
              <w:spacing w:before="0" w:after="283"/>
              <w:jc w:val="both"/>
              <w:rPr/>
            </w:pPr>
            <w:r>
              <w:rPr/>
              <w:t>“</w:t>
            </w:r>
            <w:r>
              <w:rPr>
                <w:i/>
                <w:sz w:val="20"/>
              </w:rPr>
              <w:t>JV” represents the Company’s 49% stake in the Alborz, Bear, and Chief Mountain facilities in West Texas. JV metrics are shown separately and are not included in bitcoin production or average all-in power cost calculations.</w:t>
            </w:r>
          </w:p>
        </w:tc>
      </w:tr>
    </w:tbl>
    <w:p>
      <w:pPr>
        <w:pStyle w:val="TextBody"/>
        <w:bidi w:val="0"/>
        <w:spacing w:before="0" w:after="0"/>
        <w:ind w:left="0" w:right="0" w:hanging="0"/>
        <w:jc w:val="both"/>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1820"/>
        <w:gridCol w:w="710"/>
        <w:gridCol w:w="965"/>
        <w:gridCol w:w="965"/>
        <w:gridCol w:w="965"/>
        <w:gridCol w:w="980"/>
      </w:tblGrid>
      <w:tr>
        <w:trPr/>
        <w:tc>
          <w:tcPr>
            <w:tcW w:w="6405" w:type="dxa"/>
            <w:gridSpan w:val="6"/>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Mining Projects (As of June 30, 2026):</w:t>
            </w:r>
          </w:p>
        </w:tc>
      </w:tr>
      <w:tr>
        <w:trPr/>
        <w:tc>
          <w:tcPr>
            <w:tcW w:w="18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Regions</w:t>
              <w:br/>
              <w:t>in alphabetical order</w:t>
              <w:br/>
              <w:t>(A to Z)</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Active</w:t>
              <w:br/>
              <w:t xml:space="preserve">Mining </w:t>
              <w:br/>
              <w:t>Projects</w:t>
              <w:br/>
              <w:t>Count</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Operating </w:t>
              <w:br/>
              <w:t>Computing</w:t>
              <w:br/>
              <w:t>Power</w:t>
            </w:r>
            <w:r>
              <w:rPr>
                <w:rFonts w:ascii="Times New Roman;Times;Serif" w:hAnsi="Times New Roman;Times;Serif"/>
                <w:b/>
                <w:position w:val="7"/>
                <w:sz w:val="16"/>
                <w:sz w:val="20"/>
              </w:rPr>
              <w:t>5</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Installed </w:t>
              <w:br/>
              <w:t>Computing</w:t>
              <w:br/>
              <w:t>Power</w:t>
            </w:r>
            <w:r>
              <w:rPr>
                <w:rFonts w:ascii="Times New Roman;Times;Serif" w:hAnsi="Times New Roman;Times;Serif"/>
                <w:b/>
                <w:position w:val="7"/>
                <w:sz w:val="16"/>
                <w:sz w:val="20"/>
              </w:rPr>
              <w:t>6</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Expected </w:t>
              <w:br/>
              <w:t>Computing</w:t>
              <w:br/>
              <w:t>Power</w:t>
            </w:r>
            <w:r>
              <w:rPr>
                <w:rFonts w:ascii="Times New Roman;Times;Serif" w:hAnsi="Times New Roman;Times;Serif"/>
                <w:b/>
                <w:position w:val="7"/>
                <w:sz w:val="16"/>
                <w:sz w:val="20"/>
              </w:rPr>
              <w:t>7</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Estimated </w:t>
              <w:br/>
              <w:t xml:space="preserve">Total </w:t>
              <w:br/>
              <w:t>Computing</w:t>
              <w:br/>
              <w:t>Power</w:t>
            </w:r>
            <w:r>
              <w:rPr>
                <w:rFonts w:ascii="Times New Roman;Times;Serif" w:hAnsi="Times New Roman;Times;Serif"/>
                <w:b/>
                <w:position w:val="7"/>
                <w:sz w:val="16"/>
                <w:sz w:val="20"/>
              </w:rPr>
              <w:t>8</w:t>
            </w:r>
          </w:p>
        </w:tc>
      </w:tr>
      <w:tr>
        <w:trPr/>
        <w:tc>
          <w:tcPr>
            <w:tcW w:w="18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Global </w:t>
            </w:r>
          </w:p>
        </w:tc>
        <w:tc>
          <w:tcPr>
            <w:tcW w:w="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7.45 EH/s</w:t>
            </w:r>
          </w:p>
        </w:tc>
        <w:tc>
          <w:tcPr>
            <w:tcW w:w="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14.86 EH/s</w:t>
            </w:r>
          </w:p>
        </w:tc>
        <w:tc>
          <w:tcPr>
            <w:tcW w:w="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0.10 EH/s</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14.96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America</w:t>
            </w:r>
          </w:p>
        </w:tc>
        <w:tc>
          <w:tcPr>
            <w:tcW w:w="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2.90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JV-WindHQ</w:t>
            </w:r>
          </w:p>
        </w:tc>
        <w:tc>
          <w:tcPr>
            <w:tcW w:w="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4.09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4.81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0.00 EH/s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4.82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Canada</w:t>
            </w:r>
          </w:p>
        </w:tc>
        <w:tc>
          <w:tcPr>
            <w:tcW w:w="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 EH/s</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Ethiopia</w:t>
            </w:r>
            <w:r>
              <w:rPr>
                <w:rFonts w:ascii="Times New Roman;Times;Serif" w:hAnsi="Times New Roman;Times;Serif"/>
                <w:position w:val="7"/>
                <w:sz w:val="16"/>
                <w:sz w:val="20"/>
              </w:rPr>
              <w:t>9</w:t>
            </w:r>
          </w:p>
        </w:tc>
        <w:tc>
          <w:tcPr>
            <w:tcW w:w="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4.96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Middle East</w:t>
            </w:r>
          </w:p>
        </w:tc>
        <w:tc>
          <w:tcPr>
            <w:tcW w:w="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Malaysia</w:t>
            </w:r>
          </w:p>
        </w:tc>
        <w:tc>
          <w:tcPr>
            <w:tcW w:w="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Notes: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i/>
                <w:sz w:val="20"/>
              </w:rPr>
            </w:pPr>
            <w:r>
              <w:rPr>
                <w:i/>
                <w:sz w:val="20"/>
              </w:rPr>
              <w:t>5.</w:t>
            </w:r>
          </w:p>
        </w:tc>
        <w:tc>
          <w:tcPr>
            <w:tcW w:w="10041" w:type="dxa"/>
            <w:tcBorders/>
            <w:vAlign w:val="center"/>
          </w:tcPr>
          <w:p>
            <w:pPr>
              <w:pStyle w:val="TableContents"/>
              <w:bidi w:val="0"/>
              <w:spacing w:before="0" w:after="283"/>
              <w:jc w:val="both"/>
              <w:rPr>
                <w:i/>
                <w:sz w:val="20"/>
              </w:rPr>
            </w:pPr>
            <w:r>
              <w:rPr>
                <w:i/>
                <w:sz w:val="20"/>
              </w:rPr>
              <w:t xml:space="preserve">Defined as the amount of computing power that could theoretically be generated if all mining machines that have been energized were currently in operation, including mining machines that may be temporarily offline.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i/>
                <w:sz w:val="20"/>
              </w:rPr>
            </w:pPr>
            <w:r>
              <w:rPr>
                <w:i/>
                <w:sz w:val="20"/>
              </w:rPr>
              <w:t>6.</w:t>
            </w:r>
          </w:p>
        </w:tc>
        <w:tc>
          <w:tcPr>
            <w:tcW w:w="10023" w:type="dxa"/>
            <w:tcBorders/>
            <w:vAlign w:val="center"/>
          </w:tcPr>
          <w:p>
            <w:pPr>
              <w:pStyle w:val="TableContents"/>
              <w:bidi w:val="0"/>
              <w:spacing w:before="0" w:after="283"/>
              <w:jc w:val="both"/>
              <w:rPr>
                <w:i/>
                <w:sz w:val="20"/>
              </w:rPr>
            </w:pPr>
            <w:r>
              <w:rPr>
                <w:i/>
                <w:sz w:val="20"/>
              </w:rPr>
              <w:t>Defined as the sum of Operating Computing Power and computing power that has been installed but not yet in operation, if any.</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i/>
                <w:sz w:val="20"/>
              </w:rPr>
            </w:pPr>
            <w:r>
              <w:rPr>
                <w:i/>
                <w:sz w:val="20"/>
              </w:rPr>
              <w:t>7.</w:t>
            </w:r>
          </w:p>
        </w:tc>
        <w:tc>
          <w:tcPr>
            <w:tcW w:w="10027" w:type="dxa"/>
            <w:tcBorders/>
            <w:vAlign w:val="center"/>
          </w:tcPr>
          <w:p>
            <w:pPr>
              <w:pStyle w:val="TableContents"/>
              <w:bidi w:val="0"/>
              <w:spacing w:before="0" w:after="283"/>
              <w:jc w:val="both"/>
              <w:rPr>
                <w:i/>
                <w:sz w:val="20"/>
              </w:rPr>
            </w:pPr>
            <w:r>
              <w:rPr>
                <w:i/>
                <w:sz w:val="20"/>
              </w:rPr>
              <w:t xml:space="preserve">Defined as the amount of computing power that has been delivered to the country where each mining project is located, but not yet installed. </w:t>
            </w:r>
          </w:p>
        </w:tc>
      </w:tr>
    </w:tbl>
    <w:tbl>
      <w:tblPr>
        <w:tblW w:w="6985" w:type="dxa"/>
        <w:jc w:val="left"/>
        <w:tblInd w:w="0" w:type="dxa"/>
        <w:tblLayout w:type="fixed"/>
        <w:tblCellMar>
          <w:top w:w="0" w:type="dxa"/>
          <w:left w:w="0" w:type="dxa"/>
          <w:bottom w:w="0" w:type="dxa"/>
          <w:right w:w="0" w:type="dxa"/>
        </w:tblCellMar>
      </w:tblPr>
      <w:tblGrid>
        <w:gridCol w:w="185"/>
        <w:gridCol w:w="6800"/>
      </w:tblGrid>
      <w:tr>
        <w:trPr/>
        <w:tc>
          <w:tcPr>
            <w:tcW w:w="185" w:type="dxa"/>
            <w:tcBorders/>
            <w:vAlign w:val="center"/>
          </w:tcPr>
          <w:p>
            <w:pPr>
              <w:pStyle w:val="TableContents"/>
              <w:bidi w:val="0"/>
              <w:spacing w:before="0" w:after="283"/>
              <w:jc w:val="left"/>
              <w:rPr>
                <w:i/>
                <w:sz w:val="20"/>
              </w:rPr>
            </w:pPr>
            <w:r>
              <w:rPr>
                <w:i/>
                <w:sz w:val="20"/>
              </w:rPr>
              <w:t>8.</w:t>
            </w:r>
          </w:p>
        </w:tc>
        <w:tc>
          <w:tcPr>
            <w:tcW w:w="6800" w:type="dxa"/>
            <w:tcBorders/>
            <w:vAlign w:val="center"/>
          </w:tcPr>
          <w:p>
            <w:pPr>
              <w:pStyle w:val="TableContents"/>
              <w:bidi w:val="0"/>
              <w:spacing w:before="0" w:after="283"/>
              <w:jc w:val="both"/>
              <w:rPr>
                <w:i/>
                <w:sz w:val="20"/>
              </w:rPr>
            </w:pPr>
            <w:r>
              <w:rPr>
                <w:i/>
                <w:sz w:val="20"/>
              </w:rPr>
              <w:t>Defined as the sum of Installed Computing Power and Expected Computing Power.</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i/>
                <w:sz w:val="20"/>
              </w:rPr>
            </w:pPr>
            <w:r>
              <w:rPr>
                <w:i/>
                <w:sz w:val="20"/>
              </w:rPr>
              <w:t>9.</w:t>
            </w:r>
          </w:p>
        </w:tc>
        <w:tc>
          <w:tcPr>
            <w:tcW w:w="10037" w:type="dxa"/>
            <w:tcBorders/>
            <w:vAlign w:val="center"/>
          </w:tcPr>
          <w:p>
            <w:pPr>
              <w:pStyle w:val="TableContents"/>
              <w:bidi w:val="0"/>
              <w:spacing w:before="0" w:after="283"/>
              <w:jc w:val="both"/>
              <w:rPr>
                <w:i/>
                <w:sz w:val="20"/>
              </w:rPr>
            </w:pPr>
            <w:r>
              <w:rPr>
                <w:i/>
                <w:sz w:val="20"/>
              </w:rPr>
              <w:t>The decrease in Operating Computing Power in Ethiopia primarily reflects one mining site being temporarily taken offline beginning in mid-June due to local power grid maintenance.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Corporate Updates: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Completed Transfer to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Canaan completed the transfer of the listing of its American Depositary Shares from the Nasdaq Global Market to the Nasdaq Capital Market, with no impact on trading under the ticker symbol "CAN." The Company also applied for an additional 180-day compliance period to regain compliance with Nasdaq's minimum bid price requirement while continuing to execute its long-term energy-plus-compute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Announced CEO and CFO’s Open Market Share Purchases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the Company announced that its chairman and chief executive officer, Nangeng Zhang, and chief financial officer, Jin "James" Cheng, recently purchased additional shares of the Company's stock in the open market. The executive team together acquired a total of 1,065,000 ADSs of the Company at an average price of US$0.35 per ADS. Management noted that these purchases reflect strong conviction in Canaan's long-term growth strategy, particularly regarding the commercial convergence of energy and computing infrastructure. This alignment of interests underscores their commitment to expanding Canaan's footprint across mining infrastructure, energy-related initiatives, and emerging compute opportunities while creating sustainable,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Won Competitive Bid to Provide Hash-to-Heat Equipment to Nordic District Heating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announced that it had been selected to support a district heating network in the Nordic region with a combined capacity of approximately 8 MW. The project utilizes the Company's Avalon A1566HA hydro-cooled units and leverages Canaan's proprietary semiconductor and system design technologies to support dynamic overclocking and underclocking, enabling the stable delivery of hot water at temperatures of approximately 80 degrees Celsius for integration into existing district heating infrastructure. The project builds upon a successful initial deployment of approximately 2 MW, which is currently operating and supplying hot water to local residents. Following the strong performance of the first phase, the Customer placed a follow-on order in March 2026 for an additional 6 MW of capacity. This deployment further demonstrates the commercial viability of the Company's hash-to-heat technology and its potential to accelerate the replacement of legacy heating systems, while creating value beyond traditional bitcoin mining applications through energy-efficient heating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br/>
        <w:t>Jesse Colzani</w:t>
        <w:br/>
        <w:t xml:space="preserve">Email: </w:t>
      </w:r>
      <w:r>
        <w:rPr>
          <w:rFonts w:ascii="Times New Roman;Times;Serif" w:hAnsi="Times New Roman;Times;Serif"/>
          <w:b w:val="false"/>
          <w:i w:val="false"/>
          <w:caps w:val="false"/>
          <w:smallCaps w:val="false"/>
          <w:sz w:val="20"/>
          <w:u w:val="single"/>
        </w:rPr>
        <w:t>canaan@blocksbridge.com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1740</Words>
  <Characters>10214</Characters>
  <CharactersWithSpaces>11914</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