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Canaan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28 Ayer Rajah Crescent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#06-08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139959</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000"/>
        <w:spacing w:after="0" w:line="207" w:lineRule="exact"/>
        <w:tabs>
          <w:tab w:leader="none" w:pos="5060" w:val="left"/>
        </w:tabs>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We are submitting our latest interim financial statements as Exhibit 99.1 (the “Exhibit”) to this current report on Form 6-K. If there is any discrepancy between the numbers disclosed in the Exhibit and the numbers disclosed in the exhibit of our prior 6-Ks, the number disclosed herein will supersede.</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Exhibit 99.1 to this Form 6-K shall be deemed to be filed with the Securities and Exchange Commission and incorporated by reference into the Company’s registration statement on Form F-3 (File No. 333-278762), and shall be a part thereof,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Canaan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914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r>
      <w:tr>
        <w:trPr>
          <w:trHeight w:val="432"/>
        </w:trPr>
        <w:tc>
          <w:tcPr>
            <w:tcW w:w="914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100" w:type="dxa"/>
            <w:vAlign w:val="bottom"/>
          </w:tcPr>
          <w:p>
            <w:pPr>
              <w:spacing w:after="0"/>
              <w:rPr>
                <w:sz w:val="24"/>
                <w:szCs w:val="24"/>
                <w:color w:val="auto"/>
              </w:rPr>
            </w:pPr>
          </w:p>
        </w:tc>
      </w:tr>
      <w:tr>
        <w:trPr>
          <w:trHeight w:val="41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Consolidated Balance Sheets as of December 31, 2023 and June 30, 2024</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Consolidated Statements of Comprehensive Loss for the six months ended June 30, 2023 and 2024</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Consolidated Statements of Cash Flows for the six months ended June 30, 2023 and 2024</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648"/>
        </w:trPr>
        <w:tc>
          <w:tcPr>
            <w:tcW w:w="914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F-1</w:t>
            </w: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 and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 of June 30,</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0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2(b)</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96,154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66,788</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2,997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180" w:type="dxa"/>
            <w:vAlign w:val="bottom"/>
            <w:gridSpan w:val="2"/>
            <w:shd w:val="clear" w:color="auto" w:fill="CCEEFF"/>
          </w:tcPr>
          <w:p>
            <w:pPr>
              <w:jc w:val="center"/>
              <w:ind w:left="1970"/>
              <w:spacing w:after="0"/>
              <w:rPr>
                <w:sz w:val="20"/>
                <w:szCs w:val="20"/>
                <w:color w:val="auto"/>
              </w:rPr>
            </w:pPr>
            <w:r>
              <w:rPr>
                <w:rFonts w:ascii="Times New Roman" w:cs="Times New Roman" w:eastAsia="Times New Roman" w:hAnsi="Times New Roman"/>
                <w:sz w:val="18"/>
                <w:szCs w:val="18"/>
                <w:color w:val="auto"/>
                <w:w w:val="88"/>
              </w:rPr>
              <w:t>4</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142,287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131,297</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18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w w:val="88"/>
              </w:rPr>
              <w:t>5</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122,242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129,748</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w:t>
            </w:r>
          </w:p>
        </w:tc>
        <w:tc>
          <w:tcPr>
            <w:tcW w:w="3180" w:type="dxa"/>
            <w:vAlign w:val="bottom"/>
            <w:gridSpan w:val="2"/>
            <w:shd w:val="clear" w:color="auto" w:fill="CCEEFF"/>
          </w:tcPr>
          <w:p>
            <w:pPr>
              <w:jc w:val="center"/>
              <w:ind w:left="1970"/>
              <w:spacing w:after="0"/>
              <w:rPr>
                <w:sz w:val="20"/>
                <w:szCs w:val="20"/>
                <w:color w:val="auto"/>
              </w:rPr>
            </w:pPr>
            <w:r>
              <w:rPr>
                <w:rFonts w:ascii="Times New Roman" w:cs="Times New Roman" w:eastAsia="Times New Roman" w:hAnsi="Times New Roman"/>
                <w:sz w:val="18"/>
                <w:szCs w:val="18"/>
                <w:color w:val="auto"/>
                <w:w w:val="88"/>
              </w:rPr>
              <w:t>6</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28,342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37,198</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Pledged cryptocurrency receivable</w:t>
            </w:r>
          </w:p>
        </w:tc>
        <w:tc>
          <w:tcPr>
            <w:tcW w:w="318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32,655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180" w:type="dxa"/>
            <w:vAlign w:val="bottom"/>
            <w:gridSpan w:val="2"/>
            <w:shd w:val="clear" w:color="auto" w:fill="CCEEFF"/>
          </w:tcPr>
          <w:p>
            <w:pPr>
              <w:jc w:val="center"/>
              <w:ind w:left="1970"/>
              <w:spacing w:after="0"/>
              <w:rPr>
                <w:sz w:val="20"/>
                <w:szCs w:val="20"/>
                <w:color w:val="auto"/>
              </w:rPr>
            </w:pPr>
            <w:r>
              <w:rPr>
                <w:rFonts w:ascii="Times New Roman" w:cs="Times New Roman" w:eastAsia="Times New Roman" w:hAnsi="Times New Roman"/>
                <w:sz w:val="18"/>
                <w:szCs w:val="18"/>
                <w:color w:val="auto"/>
                <w:w w:val="88"/>
              </w:rPr>
              <w:t>7</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29,466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42,267</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w:t>
            </w: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66,809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69,417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financial investment</w:t>
            </w: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129,617</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6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493,297</w:t>
            </w:r>
          </w:p>
        </w:tc>
        <w:tc>
          <w:tcPr>
            <w:tcW w:w="2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525,543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0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Current liabilities</w:t>
            </w:r>
            <w:r>
              <w:rPr>
                <w:rFonts w:ascii="MS PGothic" w:cs="MS PGothic" w:eastAsia="MS PGothic" w:hAnsi="MS PGothic"/>
                <w:sz w:val="18"/>
                <w:szCs w:val="18"/>
                <w:color w:val="auto"/>
              </w:rPr>
              <w:t>：</w:t>
            </w:r>
          </w:p>
        </w:tc>
        <w:tc>
          <w:tcPr>
            <w:tcW w:w="2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29,936</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2(c)</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19,614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50,585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2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3,524</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18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w w:val="88"/>
              </w:rPr>
              <w:t>8</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64,240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29,738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forward contract liability</w:t>
            </w:r>
          </w:p>
        </w:tc>
        <w:tc>
          <w:tcPr>
            <w:tcW w:w="318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99"/>
              </w:rPr>
              <w:t>12</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40,344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A Convertible Preferred Shares</w:t>
            </w:r>
          </w:p>
        </w:tc>
        <w:tc>
          <w:tcPr>
            <w:tcW w:w="3180" w:type="dxa"/>
            <w:vAlign w:val="bottom"/>
            <w:gridSpan w:val="2"/>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135,193</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loans</w:t>
            </w:r>
          </w:p>
        </w:tc>
        <w:tc>
          <w:tcPr>
            <w:tcW w:w="318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19,172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180" w:type="dxa"/>
            <w:vAlign w:val="bottom"/>
            <w:gridSpan w:val="2"/>
            <w:shd w:val="clear" w:color="auto" w:fill="CCEEFF"/>
          </w:tcPr>
          <w:p>
            <w:pPr>
              <w:jc w:val="center"/>
              <w:ind w:left="1970"/>
              <w:spacing w:after="0"/>
              <w:rPr>
                <w:sz w:val="20"/>
                <w:szCs w:val="20"/>
                <w:color w:val="auto"/>
              </w:rPr>
            </w:pPr>
            <w:r>
              <w:rPr>
                <w:rFonts w:ascii="Times New Roman" w:cs="Times New Roman" w:eastAsia="Times New Roman" w:hAnsi="Times New Roman"/>
                <w:sz w:val="18"/>
                <w:szCs w:val="18"/>
                <w:color w:val="auto"/>
                <w:w w:val="88"/>
              </w:rPr>
              <w:t>8</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9,707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9,362</w:t>
            </w:r>
          </w:p>
        </w:tc>
        <w:tc>
          <w:tcPr>
            <w:tcW w:w="0" w:type="dxa"/>
            <w:vAlign w:val="bottom"/>
          </w:tcPr>
          <w:p>
            <w:pPr>
              <w:spacing w:after="0"/>
              <w:rPr>
                <w:sz w:val="1"/>
                <w:szCs w:val="1"/>
                <w:color w:val="auto"/>
              </w:rPr>
            </w:pPr>
          </w:p>
        </w:tc>
      </w:tr>
      <w:tr>
        <w:trPr>
          <w:trHeight w:val="675"/>
        </w:trPr>
        <w:tc>
          <w:tcPr>
            <w:tcW w:w="47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F-2</w:t>
            </w: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-2355215</wp:posOffset>
            </wp:positionV>
            <wp:extent cx="43180" cy="88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 of June 30,</w:t>
            </w: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9,917</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30,516</w:t>
            </w:r>
          </w:p>
        </w:tc>
        <w:tc>
          <w:tcPr>
            <w:tcW w:w="0" w:type="dxa"/>
            <w:vAlign w:val="bottom"/>
          </w:tcPr>
          <w:p>
            <w:pPr>
              <w:spacing w:after="0"/>
              <w:rPr>
                <w:sz w:val="1"/>
                <w:szCs w:val="1"/>
                <w:color w:val="auto"/>
              </w:rPr>
            </w:pPr>
          </w:p>
        </w:tc>
      </w:tr>
      <w:tr>
        <w:trPr>
          <w:trHeight w:val="20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145,110</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147,343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Contingencies (Note 17)</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 and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 of June 30,</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(US$0.00000005 par value; 999,999,875,000 and 999,999,875,000</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authorized, 3,772,078,667 and 4,535,322,197 shares issued, 3,514,973,327 and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4,316,086,547 shares outstanding as of December 31, 2023 and June 30, 2024,</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 receivable from shareholders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stocks (US$0.00000005 par value; 257,105,340 and 219,235,650 shares as of</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 and June 30, 2024, respectively)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(57,055)</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(57,055)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653,860</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755,239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reserves</w:t>
            </w:r>
          </w:p>
        </w:tc>
        <w:tc>
          <w:tcPr>
            <w:tcW w:w="1120" w:type="dxa"/>
            <w:vAlign w:val="bottom"/>
          </w:tcPr>
          <w:p>
            <w:pPr>
              <w:spacing w:after="0"/>
              <w:rPr>
                <w:sz w:val="18"/>
                <w:szCs w:val="18"/>
                <w:color w:val="auto"/>
              </w:rPr>
            </w:pP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14,892</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14,892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(43,879)</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(52,865)</w:t>
            </w:r>
          </w:p>
        </w:tc>
        <w:tc>
          <w:tcPr>
            <w:tcW w:w="0" w:type="dxa"/>
            <w:vAlign w:val="bottom"/>
          </w:tcPr>
          <w:p>
            <w:pPr>
              <w:spacing w:after="0"/>
              <w:rPr>
                <w:sz w:val="1"/>
                <w:szCs w:val="1"/>
                <w:color w:val="auto"/>
              </w:rPr>
            </w:pPr>
          </w:p>
        </w:tc>
      </w:tr>
      <w:tr>
        <w:trPr>
          <w:trHeight w:val="229"/>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20" w:type="dxa"/>
            <w:vAlign w:val="bottom"/>
          </w:tcPr>
          <w:p>
            <w:pPr>
              <w:spacing w:after="0"/>
              <w:rPr>
                <w:sz w:val="19"/>
                <w:szCs w:val="19"/>
                <w:color w:val="auto"/>
              </w:rPr>
            </w:pPr>
          </w:p>
        </w:tc>
        <w:tc>
          <w:tcPr>
            <w:tcW w:w="1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(219,631)</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(282,011)</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348,187</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493,297</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525,543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2023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4"/>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23"/>
        </w:trPr>
        <w:tc>
          <w:tcPr>
            <w:tcW w:w="50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4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5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revenue</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102,054</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85,197</w:t>
            </w: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revenue</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26,985</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19,768</w:t>
            </w: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1,984</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7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129,085</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cost</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(188,684)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(139,418)</w:t>
            </w: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Mining cost</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(57,924)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(23,189)</w:t>
            </w: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cost</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(246,706)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(163,406)</w:t>
            </w: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7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(36,915)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(29,990)</w:t>
            </w: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(2,651)</w:t>
            </w: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(34,835)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(24,749)</w:t>
            </w: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on property, equipment and software</w:t>
            </w:r>
          </w:p>
        </w:tc>
        <w:tc>
          <w:tcPr>
            <w:tcW w:w="286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(9,111)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on cryptocurrency</w:t>
            </w:r>
          </w:p>
        </w:tc>
        <w:tc>
          <w:tcPr>
            <w:tcW w:w="2860" w:type="dxa"/>
            <w:vAlign w:val="bottom"/>
            <w:gridSpan w:val="2"/>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(2,363)</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7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(204,767)</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(114,645)</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666</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cryptocurrency</w:t>
            </w:r>
          </w:p>
        </w:tc>
        <w:tc>
          <w:tcPr>
            <w:tcW w:w="286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28,457</w:t>
            </w: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2860" w:type="dxa"/>
            <w:vAlign w:val="bottom"/>
            <w:gridSpan w:val="2"/>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2,115</w:t>
            </w: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of fair value of Series A Convertible Preferred Shares</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gains, net</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9,521</w:t>
            </w: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1,254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(7,710)</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17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(202,832)</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86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9"/>
                <w:szCs w:val="19"/>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7,797</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1,108</w:t>
            </w:r>
          </w:p>
        </w:tc>
      </w:tr>
      <w:tr>
        <w:trPr>
          <w:trHeight w:val="669"/>
        </w:trPr>
        <w:tc>
          <w:tcPr>
            <w:tcW w:w="50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color w:val="auto"/>
              </w:rPr>
              <w:t>F-5</w:t>
            </w:r>
          </w:p>
        </w:tc>
        <w:tc>
          <w:tcPr>
            <w:tcW w:w="146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4"/>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4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(195,035)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 of nil tax</w:t>
            </w: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6760" w:type="dxa"/>
            <w:vAlign w:val="bottom"/>
            <w:tcBorders>
              <w:bottom w:val="single" w:sz="8" w:color="CCEEFF"/>
            </w:tcBorders>
            <w:vMerge w:val="continue"/>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(14,360</w:t>
            </w:r>
          </w:p>
        </w:tc>
        <w:tc>
          <w:tcPr>
            <w:tcW w:w="200" w:type="dxa"/>
            <w:vAlign w:val="bottom"/>
            <w:tcBorders>
              <w:bottom w:val="single" w:sz="8" w:color="CCEEFF"/>
            </w:tcBorders>
            <w:vMerge w:val="continue"/>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(8,986</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(209,395</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number of shares used in per Class A and Class B ordinary share</w:t>
            </w: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7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2,523,208,771</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3,918,710,608</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2,523,208,771</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3,918,710,608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Class A and Class B ordinary share (cent per share)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18"/>
                <w:szCs w:val="18"/>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(7.73)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 were included in: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126</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4,776</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18,709</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10,697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2023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0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(48,229)</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(110,259)</w:t>
            </w:r>
          </w:p>
        </w:tc>
        <w:tc>
          <w:tcPr>
            <w:tcW w:w="0" w:type="dxa"/>
            <w:vAlign w:val="bottom"/>
          </w:tcPr>
          <w:p>
            <w:pPr>
              <w:spacing w:after="0"/>
              <w:rPr>
                <w:sz w:val="1"/>
                <w:szCs w:val="1"/>
                <w:color w:val="auto"/>
              </w:rPr>
            </w:pPr>
          </w:p>
        </w:tc>
      </w:tr>
      <w:tr>
        <w:trPr>
          <w:trHeight w:val="209"/>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equipment and software</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(1,962)</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equipment and software</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7,788</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cryptocurrency</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22,974</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31,805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for an acquisition, net of cash acquired</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2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ordinary shares, net of issuance costs under At-the-Market Offering Agreements</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4,188</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series A convertible preferred shares, net of issuance costs</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49,860</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long-term borrowings, net of issuance cost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resale of treasury stock</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1,406</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for tax withholdings on vesting of restricted share units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(1,406)</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09"/>
        </w:trPr>
        <w:tc>
          <w:tcPr>
            <w:tcW w:w="82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(23,029)</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(12,384)</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(12,529)</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at the beginning of period</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101,551</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96,154</w:t>
            </w: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the end of period</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F-7</w:t>
            </w: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22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2023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16"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822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income tax</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Mining equipment transfer from inventory to property, equipment and software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27,541</w:t>
            </w:r>
          </w:p>
        </w:tc>
      </w:tr>
      <w:tr>
        <w:trPr>
          <w:trHeight w:val="216"/>
        </w:trPr>
        <w:tc>
          <w:tcPr>
            <w:tcW w:w="9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tax withholdings on vesting of restricted share units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1,406</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 recognized on acceptance of cryptocurrency</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44,462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33,791</w:t>
            </w:r>
          </w:p>
        </w:tc>
      </w:tr>
      <w:tr>
        <w:trPr>
          <w:trHeight w:val="216"/>
        </w:trPr>
        <w:tc>
          <w:tcPr>
            <w:tcW w:w="9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recognized on payment of cryptocurrency</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8,119</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3,851</w:t>
            </w:r>
          </w:p>
        </w:tc>
      </w:tr>
      <w:tr>
        <w:trPr>
          <w:trHeight w:val="216"/>
        </w:trPr>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Cryptocurrency received as customer deposits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10,106</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Pledged cryptocurrency derecognized under long-term loans agreements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37,316</w:t>
            </w:r>
          </w:p>
        </w:tc>
      </w:tr>
      <w:tr>
        <w:trPr>
          <w:trHeight w:val="216"/>
        </w:trPr>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Return of cryptocurrency</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10,561</w:t>
            </w:r>
          </w:p>
        </w:tc>
      </w:tr>
      <w:tr>
        <w:trPr>
          <w:trHeight w:val="216"/>
        </w:trPr>
        <w:tc>
          <w:tcPr>
            <w:tcW w:w="9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received under long-term loans agreements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11,248</w:t>
            </w:r>
          </w:p>
        </w:tc>
      </w:tr>
      <w:tr>
        <w:trPr>
          <w:trHeight w:val="216"/>
        </w:trPr>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 series A convertible preferred shares into Class A ordinary shares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86,715</w:t>
            </w:r>
          </w:p>
        </w:tc>
      </w:tr>
      <w:tr>
        <w:trPr>
          <w:trHeight w:val="216"/>
        </w:trPr>
        <w:tc>
          <w:tcPr>
            <w:tcW w:w="9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pursuant to share lending arrangement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Canaan Inc., an exempted company with limited liability incorporated in the Cayman Islands, through wholly-owned subsidiaries (collectively referred to as the “Company”), is principally engaged in integrated circuit (the “IC”) design and sale and lease of final mining equipment by integrating its IC products for Bitcoin mining and related components in the People’s Republic of China (the “PRC”), Singapore and other countries and regions.</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Canaan Inc. and its subsidiaries have been prepared in accordance with accounting principles generally accepted in the United States of America (“U.S. GAAP”). Certain information and footnote disclosures normally included in financial statements prepared in accordance with U.S. GAAP have been condensed or omitted as permitted by rules and regulations of the U.S. Securities and Exchange Commission (“SEC”). The consolidated balance sheet as of December 31, 2023 was derived from the audited consolidated financial statements of the Company. The accompanying unaudited condensed consolidated financial statements should be read in conjunction with the audited consolidated financial statements of the Company as of and for the year ended December 31, 2023.</w:t>
      </w:r>
    </w:p>
    <w:p>
      <w:pPr>
        <w:spacing w:after="0" w:line="1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the opinion of management, all adjustments (which include normal recurring adjustments) necessary to present a fair statement of the financial position as of June 30, 2024, the results of operations and cash flows for the six months ended June 30, 2023 and 2024, have been made.</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accordance with U.S. GAAP requires management to make estimates and assumptions that affect the reported amounts of assets and liabilities, related disclosures of contingent assets and liabilities at the balance sheet dates, and the reported revenues and expenses during the reported periods.</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believes that accounting estimation of variable consideration for revenue recognition, valuation of series A convertible preferred shares, preferred shares forward contract liability, pre-delivery shares, deferred tax assets, write-down for inventories and prepayments, provision for reserve for inventory purchase commitments, valuation and recognition of share-based compensation, impairment on cryptocurrency, fair value of cryptocurrency, fair value of derivative assets and liabilities and impairment of property, equipment and software reflect significant judgments and estimates used in the preparation of its consolidated financial statements.</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represents bank deposits placed with banks or other financial institutions, which are unrestricted as to withdrawal or use.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38"/>
        </w:trPr>
        <w:tc>
          <w:tcPr>
            <w:tcW w:w="77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RMB denominated bank deposits with financial institutions in the PRC</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US dollar denominated bank deposits with financial institutions in the PRC</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37,170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3,569</w:t>
            </w:r>
          </w:p>
        </w:tc>
        <w:tc>
          <w:tcPr>
            <w:tcW w:w="80" w:type="dxa"/>
            <w:vAlign w:val="bottom"/>
          </w:tcPr>
          <w:p>
            <w:pPr>
              <w:spacing w:after="0"/>
              <w:rPr>
                <w:sz w:val="18"/>
                <w:szCs w:val="18"/>
                <w:color w:val="auto"/>
              </w:rPr>
            </w:pPr>
          </w:p>
        </w:tc>
      </w:tr>
      <w:tr>
        <w:trPr>
          <w:trHeight w:val="22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denominated bank deposits with financial institutions in the PRC</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r>
      <w:tr>
        <w:trPr>
          <w:trHeight w:val="209"/>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47,300</w:t>
            </w:r>
          </w:p>
        </w:tc>
        <w:tc>
          <w:tcPr>
            <w:tcW w:w="22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25,837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 denominated bank deposits with overseas financial institutions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46,522</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RMB denominated bank deposits with overseas financial institutions</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r>
      <w:tr>
        <w:trPr>
          <w:trHeight w:val="22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denominated bank deposits with overseas financial institutions</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2,325</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4,525</w:t>
            </w:r>
          </w:p>
        </w:tc>
        <w:tc>
          <w:tcPr>
            <w:tcW w:w="80" w:type="dxa"/>
            <w:vAlign w:val="bottom"/>
            <w:shd w:val="clear" w:color="auto" w:fill="CCEEFF"/>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96,154</w:t>
            </w:r>
          </w:p>
        </w:tc>
        <w:tc>
          <w:tcPr>
            <w:tcW w:w="2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The bank deposits with financial institutions in the mainland of the PRC, Hong Kong, United States, Singapore and Kahzakhstan are insured by the government authorities up to RMB500, HKD500, US$250, SGD75 and KZT15,000 per bank, respectively. The bank deposits including term deposits and restricted cash are insured by the government authorities with amounts up to US$3,013 and US$2,901 as of December 31, 2023 and June 30, 2024, respectively. The Company has not experienced any losses in uninsured bank deposits and does not believe that it is exposed to any significant risks on cash held in bank accounts. To limit exposure to credit risk, the Company primarily places bank deposits with large financial institutions in the PRC mainland, Hong Kong, United States, Singapore and Kahzakhstan with acceptable credit rating.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Contract liabilities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prepayments received from customers as of December 31, 2023 and June 30, 2024 was US$19,614 and US$50,585, respectively. The revenue recognized during the six months ended June 30, 2023 and 2024 for the beginning balance of contract liability was US$380 and US$10,024,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Cryptocurrency</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Effective January 1, 2024, the Company early adopted ASU 2023-08, resulting in US$18,893 increase to cryptocurrency and US$18,893 decrease to accumulated deficit on the Consolidated Balance Sheets as of the beginning of the fiscal year ended December 31, 2024.</w:t>
      </w:r>
    </w:p>
    <w:p>
      <w:pPr>
        <w:spacing w:after="0" w:line="37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660" w:top="900" w:right="299" w:bottom="1440" w:gutter="0" w:footer="0" w:header="0"/>
        </w:sectPr>
      </w:pPr>
    </w:p>
    <w:bookmarkStart w:id="14" w:name="page15"/>
    <w:bookmarkEnd w:id="14"/>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adopting ASU 2023-08, the Company measures cryptocurrency at fair value as of each reporting period in accordance with ASC 820, Fair Value Measurement (“ASC 820”), based on quoted prices on the active trading platform that the Company normally transacts and has determined is its principal market for bitcoin (Level 1 inputs), based on all information that is reasonably available. Since bitcoin is traded on a 24-hour period, the Company utilizes the price at the start of day Coordinated Universal Time (00:00:00 UTC), which aligns with the Company's revenue recognition policy. Gains and losses from the remeasurement of cryptocurrencyare included within change in fair value of cryptocurrency, net in the consolidated statements of comprehensive loss. The Company sells cryptocurrency and gains and losses from such transactions, measured as the difference between the cash proceeds and the carrying basis of cryptocurrency as determined on a first-in-first-out basis, are also included within change in fair value of cryptocurrencyin the consolidated statements of comprehensive loss. The Company recorded change in fair value of cryptocurrencyof $28.5 million during the six months ended June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Pledged cryptocurrency receivable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borrowing arrangements that require the Company to pledge collateral in the form of cryptocurrency. If the lender obtains control or has the right to sell, pledge, or rehypothecate the Company’s collateral, the Company derecognizes the pledged bitcoins, and recognizes a receivable from the lender when pledge was made. Pledged cryptocurrency receivable which will be released within one year is included in the current assets and which will be released over one year is included in the non-current assets. Pledged cryptocurrency receivable are initially and subsequently measured at the fair value. Changes in fair value are recorded in other income (expenses), net. If the lender does not obtain control or have the right to sell, pledge, or rehypothecate the collateral, the pledged bitcoins does not meet the derecognition criteria and is recorded in cryptocurrency, restricted.</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(f)</w:t>
        <w:tab/>
        <w:t>Long-term loans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Long-term loans are carried at amortized cost. Transaction costs are recorded as direct deductions from the related loan liabilities and amortized to interest expense using the effective interest method over the terms of the loan term loan. Interest expense on debt includes long-term loan interest expense, as well as amortization of debt issuance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Cryptocurrency borrowings are accounted for as hybrid instruments, with a dollar-denominated debt host contract that contains an embedded derivative. The initial fair value of the embedded derivative is zero and subsequently measured at the fair value, with changes in fair value recognized in other income (expense), net .</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Derivative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enter into arrangements that result in obtaining the right to receive or obligation to deliver a fixed amount of cryptocurrency in the future. Such arrangements are accounted as hybrid instruments, consisting of a receivable or debt host contract that is initially measured at the fair value of the underlying cryptocurrency and is subsequently carried at amortized cost, and an embedded forward feature based on the changes in the fair value of the underlying cryptocurrency. The embedded forward is bifurcated from the host contract, and is subsequently measured at fair value. The Company presents the embedded derivative instrument together with the host contract.</w:t>
      </w:r>
    </w:p>
    <w:p>
      <w:pPr>
        <w:spacing w:after="0" w:line="3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concentration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Concentration of credit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June 30, 2024, accounts receivable were US$2,997 and US$8,159, respectively.</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concentration of credit risk is as below:</w:t>
            </w:r>
          </w:p>
        </w:tc>
        <w:tc>
          <w:tcPr>
            <w:tcW w:w="1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340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09"/>
        </w:trPr>
        <w:tc>
          <w:tcPr>
            <w:tcW w:w="59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6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4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6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6"/>
              </w:rPr>
              <w:t>51%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6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6"/>
              </w:rPr>
              <w:t>32%</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3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6"/>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125730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Less than 10%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2023 and 2024, customers which contributed more than 10% of total revenue are as below:</w:t>
      </w:r>
    </w:p>
    <w:p>
      <w:pPr>
        <w:spacing w:after="0" w:line="235"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76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r>
      <w:tr>
        <w:trPr>
          <w:trHeight w:val="21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137160</wp:posOffset>
            </wp:positionV>
            <wp:extent cx="178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Less than 10%</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Supplier concentration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2023 and 2024 the Company’s purchases substantially all its integrated circuits from one supplier.</w:t>
      </w:r>
    </w:p>
    <w:p>
      <w:pPr>
        <w:spacing w:after="0" w:line="225" w:lineRule="exact"/>
        <w:rPr>
          <w:sz w:val="20"/>
          <w:szCs w:val="20"/>
          <w:color w:val="auto"/>
        </w:rPr>
      </w:pPr>
    </w:p>
    <w:p>
      <w:pPr>
        <w:jc w:val="both"/>
        <w:ind w:left="340" w:right="60"/>
        <w:spacing w:after="0" w:line="266" w:lineRule="auto"/>
        <w:rPr>
          <w:sz w:val="20"/>
          <w:szCs w:val="20"/>
          <w:color w:val="auto"/>
        </w:rPr>
      </w:pPr>
      <w:r>
        <w:rPr>
          <w:rFonts w:ascii="Times New Roman" w:cs="Times New Roman" w:eastAsia="Times New Roman" w:hAnsi="Times New Roman"/>
          <w:sz w:val="18"/>
          <w:szCs w:val="18"/>
          <w:color w:val="auto"/>
        </w:rPr>
        <w:t>Although only a limited number of manufacturers for such integrated circuits are available, management believes that they could change their suppliers within these manufacturers which provided integrated circuits on comparable terms. A change in suppliers, however, could cause a delay in manufacturing and a possible loss of sales, which would affect operating results adversely.</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80"/>
          </w:cols>
          <w:pgMar w:left="320" w:top="900" w:right="29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consist of the following:</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09"/>
        </w:trPr>
        <w:tc>
          <w:tcPr>
            <w:tcW w:w="772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15,898</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6,783</w:t>
            </w:r>
          </w:p>
        </w:tc>
        <w:tc>
          <w:tcPr>
            <w:tcW w:w="80" w:type="dxa"/>
            <w:vAlign w:val="bottom"/>
          </w:tcPr>
          <w:p>
            <w:pPr>
              <w:spacing w:after="0"/>
              <w:rPr>
                <w:sz w:val="18"/>
                <w:szCs w:val="18"/>
                <w:color w:val="auto"/>
              </w:rPr>
            </w:pPr>
          </w:p>
        </w:tc>
      </w:tr>
      <w:tr>
        <w:trPr>
          <w:trHeight w:val="22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31,324</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55,492</w:t>
            </w:r>
          </w:p>
        </w:tc>
        <w:tc>
          <w:tcPr>
            <w:tcW w:w="80" w:type="dxa"/>
            <w:vAlign w:val="bottom"/>
            <w:shd w:val="clear" w:color="auto" w:fill="CCEEFF"/>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142,287</w:t>
            </w:r>
          </w:p>
        </w:tc>
        <w:tc>
          <w:tcPr>
            <w:tcW w:w="2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and 2024, the Company recorded write-down of US$78,428 and US$89,929 in cost of revenues, respectively.</w:t>
      </w:r>
    </w:p>
    <w:p>
      <w:pPr>
        <w:spacing w:after="0" w:line="15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current assets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prepayments and other current assets consist of the following:</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10"/>
        </w:trPr>
        <w:tc>
          <w:tcPr>
            <w:tcW w:w="772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20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to vendors (Note a)</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46,277</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60,926</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recoverable and refund</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55,403</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51,513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7,546</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5,653</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3,746</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3,341</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9,270</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8,315</w:t>
            </w:r>
          </w:p>
        </w:tc>
      </w:tr>
      <w:tr>
        <w:trPr>
          <w:trHeight w:val="223"/>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right="40"/>
        <w:spacing w:after="0" w:line="261" w:lineRule="auto"/>
        <w:rPr>
          <w:sz w:val="20"/>
          <w:szCs w:val="20"/>
          <w:color w:val="auto"/>
        </w:rPr>
      </w:pPr>
      <w:r>
        <w:rPr>
          <w:rFonts w:ascii="Times New Roman" w:cs="Times New Roman" w:eastAsia="Times New Roman" w:hAnsi="Times New Roman"/>
          <w:sz w:val="18"/>
          <w:szCs w:val="18"/>
          <w:color w:val="auto"/>
        </w:rPr>
        <w:t>Note a: Prepayments to vendors mainly represent prepayments made to third-party suppliers for foundry service. The Company also records a provision for the prepayment to third-party suppliers when the Company believes that the net realizable value (being the estimated selling price of final products, less the costs of completion and selling expenses) is less than carrying amount. During the six months ended June 30, 2023 and 2024, the Company recorded write-downs of US$267 and US$9,696 for the prepayment to third-party suppliers in cost of revenues.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80"/>
          </w:cols>
          <w:pgMar w:left="320" w:top="900" w:right="29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Cryptocurrency</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Company’s cryptocurrency holdings as of June 30, 2024 and December 31, 2023, respectively:</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As of June 30, 2024</w:t>
            </w: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for quantity)</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80" w:type="dxa"/>
            <w:vAlign w:val="bottom"/>
            <w:vMerge w:val="continue"/>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8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37,184</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1,964</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Cryptocurrency</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right="40" w:firstLine="324"/>
        <w:spacing w:after="0" w:line="258" w:lineRule="auto"/>
        <w:rPr>
          <w:sz w:val="20"/>
          <w:szCs w:val="20"/>
          <w:color w:val="auto"/>
        </w:rPr>
      </w:pPr>
      <w:r>
        <w:rPr>
          <w:rFonts w:ascii="Times New Roman" w:cs="Times New Roman" w:eastAsia="Times New Roman" w:hAnsi="Times New Roman"/>
          <w:sz w:val="18"/>
          <w:szCs w:val="18"/>
          <w:color w:val="auto"/>
        </w:rPr>
        <w:t>Note: Prior to the adoption of ASU 2023-08 on January 1, 2024, the carrying value of cryptocurrency represents the post-impairment value of all cryptocurrency held. After the adoption of ASU 2023-08 the cost basis of cryptocurrency represents the fair value of cryptocurrency at the time of service contract inception. The Company has adopted an accounting policy to aggregate individual contracts with individual terms less than 24 hours within each intraday period and apply a consistent valuation point, the start of day Coordinated Universal Time (00:00:00 UTC), to value the Bitcoin received.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80"/>
          </w:cols>
          <w:pgMar w:left="320" w:top="900" w:right="29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 about cryptocurrency consists of the following:</w:t>
            </w: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100" w:type="dxa"/>
            <w:vAlign w:val="bottom"/>
            <w:gridSpan w:val="6"/>
          </w:tcPr>
          <w:p>
            <w:pPr>
              <w:ind w:left="138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the adoption of ASU 2023-08</w:t>
            </w:r>
          </w:p>
        </w:tc>
        <w:tc>
          <w:tcPr>
            <w:tcW w:w="13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on acceptance of cryptocurrency</w:t>
            </w:r>
          </w:p>
        </w:tc>
        <w:tc>
          <w:tcPr>
            <w:tcW w:w="2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44,462</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Cryptocurrency received under long-term loans agreements</w:t>
            </w:r>
          </w:p>
        </w:tc>
        <w:tc>
          <w:tcPr>
            <w:tcW w:w="13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Cryptocurrency received as customer deposits</w:t>
            </w:r>
          </w:p>
        </w:tc>
        <w:tc>
          <w:tcPr>
            <w:tcW w:w="2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10,106</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Pledged cryptocurrency derecognized under long-term loans agreements</w:t>
            </w:r>
          </w:p>
        </w:tc>
        <w:tc>
          <w:tcPr>
            <w:tcW w:w="13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cryptocurrency</w:t>
            </w:r>
          </w:p>
        </w:tc>
        <w:tc>
          <w:tcPr>
            <w:tcW w:w="1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recognized on payment of cryptocurrency</w:t>
            </w:r>
          </w:p>
        </w:tc>
        <w:tc>
          <w:tcPr>
            <w:tcW w:w="2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(8,119)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cryptocurrency</w:t>
            </w:r>
          </w:p>
        </w:tc>
        <w:tc>
          <w:tcPr>
            <w:tcW w:w="2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(22,974)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cryptocurrency</w:t>
            </w:r>
          </w:p>
        </w:tc>
        <w:tc>
          <w:tcPr>
            <w:tcW w:w="13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disposal of cryptocurrency</w:t>
            </w:r>
          </w:p>
        </w:tc>
        <w:tc>
          <w:tcPr>
            <w:tcW w:w="2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(4,878)</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2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(2,363)</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40" w:type="dxa"/>
            <w:vAlign w:val="bottom"/>
            <w:vMerge w:val="restart"/>
          </w:tcPr>
          <w:p>
            <w:pPr>
              <w:ind w:left="5120"/>
              <w:spacing w:after="0"/>
              <w:rPr>
                <w:sz w:val="20"/>
                <w:szCs w:val="20"/>
                <w:color w:val="auto"/>
              </w:rPr>
            </w:pPr>
            <w:r>
              <w:rPr>
                <w:rFonts w:ascii="Times New Roman" w:cs="Times New Roman" w:eastAsia="Times New Roman" w:hAnsi="Times New Roman"/>
                <w:sz w:val="18"/>
                <w:szCs w:val="18"/>
                <w:color w:val="auto"/>
              </w:rPr>
              <w:t>F-15</w:t>
            </w:r>
          </w:p>
        </w:tc>
        <w:tc>
          <w:tcPr>
            <w:tcW w:w="1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900" w:right="29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software,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equipment and software consist of the following:</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09"/>
        </w:trPr>
        <w:tc>
          <w:tcPr>
            <w:tcW w:w="756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Mining equipment</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95,215</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83,514</w:t>
            </w: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Computers and electronic equipment</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10,940</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10,079</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Leasehold improvements</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5,772</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5,035</w:t>
            </w: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Mechanical equipment</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3,283</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3,529</w:t>
            </w: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8,334</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Motor vehicles</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8"/>
                <w:szCs w:val="18"/>
                <w:color w:val="auto"/>
              </w:rPr>
            </w:pPr>
          </w:p>
        </w:tc>
      </w:tr>
      <w:tr>
        <w:trPr>
          <w:trHeight w:val="229"/>
        </w:trPr>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Land</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115,567</w:t>
            </w:r>
          </w:p>
        </w:tc>
        <w:tc>
          <w:tcPr>
            <w:tcW w:w="2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(86,101)</w:t>
            </w: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(68,700)</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29,466</w:t>
            </w:r>
          </w:p>
        </w:tc>
        <w:tc>
          <w:tcPr>
            <w:tcW w:w="2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right="40"/>
        <w:spacing w:after="0" w:line="282" w:lineRule="auto"/>
        <w:rPr>
          <w:sz w:val="20"/>
          <w:szCs w:val="20"/>
          <w:color w:val="auto"/>
        </w:rPr>
      </w:pPr>
      <w:r>
        <w:rPr>
          <w:rFonts w:ascii="Times New Roman" w:cs="Times New Roman" w:eastAsia="Times New Roman" w:hAnsi="Times New Roman"/>
          <w:sz w:val="18"/>
          <w:szCs w:val="18"/>
          <w:color w:val="auto"/>
        </w:rPr>
        <w:t>Depreciation expense during the six months ended June 30, 2023 and 2024 was US$35,284 and US$13,034, respectively. The Company recognized impairment of US$9,111 and US$798 during the six months ended June 30, 2023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Accrued liabilities and other liabilities</w:t>
            </w:r>
          </w:p>
        </w:tc>
        <w:tc>
          <w:tcPr>
            <w:tcW w:w="2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98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liabilities and other current liabilities</w:t>
            </w:r>
          </w:p>
        </w:tc>
        <w:tc>
          <w:tcPr>
            <w:tcW w:w="25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4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19,623</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payables</w:t>
            </w:r>
          </w:p>
        </w:tc>
        <w:tc>
          <w:tcPr>
            <w:tcW w:w="4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7,019</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Customer refund</w:t>
            </w:r>
          </w:p>
        </w:tc>
        <w:tc>
          <w:tcPr>
            <w:tcW w:w="4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3,812</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received from customers related to contract liabilities</w:t>
            </w:r>
          </w:p>
        </w:tc>
        <w:tc>
          <w:tcPr>
            <w:tcW w:w="4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1,429</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4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7,185</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reserve for inventory purchase commitments (Note a)</w:t>
            </w:r>
          </w:p>
        </w:tc>
        <w:tc>
          <w:tcPr>
            <w:tcW w:w="4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20,706</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Warranty reserve (Note b)</w:t>
            </w:r>
          </w:p>
        </w:tc>
        <w:tc>
          <w:tcPr>
            <w:tcW w:w="4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878</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 payable</w:t>
            </w:r>
          </w:p>
        </w:tc>
        <w:tc>
          <w:tcPr>
            <w:tcW w:w="4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4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3,532</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government grant</w:t>
            </w:r>
          </w:p>
        </w:tc>
        <w:tc>
          <w:tcPr>
            <w:tcW w:w="4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9,191</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Refund from deposit bank - non-current</w:t>
            </w:r>
          </w:p>
        </w:tc>
        <w:tc>
          <w:tcPr>
            <w:tcW w:w="4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516</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F-16</w:t>
            </w:r>
          </w:p>
        </w:tc>
        <w:tc>
          <w:tcPr>
            <w:tcW w:w="1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900" w:right="29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7" w:lineRule="exact"/>
        <w:rPr>
          <w:sz w:val="20"/>
          <w:szCs w:val="20"/>
          <w:color w:val="auto"/>
        </w:rPr>
      </w:pPr>
    </w:p>
    <w:p>
      <w:pPr>
        <w:jc w:val="both"/>
        <w:ind w:left="340" w:right="40"/>
        <w:spacing w:after="0" w:line="266" w:lineRule="auto"/>
        <w:rPr>
          <w:sz w:val="20"/>
          <w:szCs w:val="20"/>
          <w:color w:val="auto"/>
        </w:rPr>
      </w:pPr>
      <w:r>
        <w:rPr>
          <w:rFonts w:ascii="Times New Roman" w:cs="Times New Roman" w:eastAsia="Times New Roman" w:hAnsi="Times New Roman"/>
          <w:sz w:val="18"/>
          <w:szCs w:val="18"/>
          <w:color w:val="auto"/>
        </w:rPr>
        <w:t>Note a: The Company entered into several contracts to purchase foundry service. These contracts represent firm purchase commitments which are evaluated for potential losses. As of December 31, 2023 and June 30, 2024, the Company’s purchase obligation to third-party suppliers for foundry service was US$42,904 and nil, respectively.</w:t>
      </w:r>
    </w:p>
    <w:p>
      <w:pPr>
        <w:spacing w:after="0" w:line="176" w:lineRule="exact"/>
        <w:rPr>
          <w:sz w:val="20"/>
          <w:szCs w:val="20"/>
          <w:color w:val="auto"/>
        </w:rPr>
      </w:pPr>
    </w:p>
    <w:p>
      <w:pPr>
        <w:jc w:val="both"/>
        <w:ind w:left="340" w:right="40"/>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the Company’s consolidated financial statements for the six months ended June 30, 2024 the Company assessed the loss contingency under the foundry service contracts taking into account the estimated selling price of mining equipment. The provision was determined by applying a methodology similar to that used in the lower of cost or net realizable value with respect to inventory, using estimates of the costs to convert raw materials into final products in order to determine net realizable value. During the six months ended June 30, 2023 and 2024, a provision of US$25,477 and nil has been recognized in cost of revenues for the Company’s inventory purchase commitments under foundry service contracts as a result of the decline in the estimated selling price of mining equipment based on the most recent subsequent selling price.</w:t>
      </w:r>
    </w:p>
    <w:p>
      <w:pPr>
        <w:spacing w:after="0" w:line="187" w:lineRule="exact"/>
        <w:rPr>
          <w:sz w:val="20"/>
          <w:szCs w:val="20"/>
          <w:color w:val="auto"/>
        </w:rPr>
      </w:pPr>
    </w:p>
    <w:p>
      <w:pPr>
        <w:jc w:val="both"/>
        <w:ind w:left="340" w:right="40"/>
        <w:spacing w:after="0" w:line="266" w:lineRule="auto"/>
        <w:rPr>
          <w:sz w:val="20"/>
          <w:szCs w:val="20"/>
          <w:color w:val="auto"/>
        </w:rPr>
      </w:pPr>
      <w:r>
        <w:rPr>
          <w:rFonts w:ascii="Times New Roman" w:cs="Times New Roman" w:eastAsia="Times New Roman" w:hAnsi="Times New Roman"/>
          <w:sz w:val="18"/>
          <w:szCs w:val="18"/>
          <w:color w:val="auto"/>
        </w:rPr>
        <w:t>Note b: For mining equipment, the Company provides its customers for 360 days warranty, subject to certain conditions, such as normal use. The Company provides for the estimated costs of warranties at the time revenue is recognized. Factors that affect the Company’s warranty obligation include product defect rates and costs of repair or replacement.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Movement of warranty reserve is as follows:</w:t>
      </w:r>
    </w:p>
    <w:p>
      <w:pPr>
        <w:spacing w:after="0" w:line="22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82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1,716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Accrual for warranties issued during the period</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claims paid</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(526)</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(1,585)</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expired</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r>
      <w:tr>
        <w:trPr>
          <w:trHeight w:val="229"/>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loans</w:t>
      </w:r>
    </w:p>
    <w:p>
      <w:pPr>
        <w:spacing w:after="0" w:line="229" w:lineRule="exact"/>
        <w:rPr>
          <w:rFonts w:ascii="Times New Roman" w:cs="Times New Roman" w:eastAsia="Times New Roman" w:hAnsi="Times New Roman"/>
          <w:sz w:val="18"/>
          <w:szCs w:val="18"/>
          <w:b w:val="1"/>
          <w:bCs w:val="1"/>
          <w:color w:val="auto"/>
        </w:rPr>
      </w:pPr>
    </w:p>
    <w:p>
      <w:pPr>
        <w:jc w:val="both"/>
        <w:ind w:left="34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12, 2024, the Company, through a wholly-owned subsidiary, entered into Master Loan and Pledge Agreements (the “Agreements”) with a third party (the “Lender”). Pursuant to the Agreements, the Lender will provide loans in tranches in USDT (also known as Tether, a stablecoin pegged to the U.S. Dollar) with a term of 18-month and an interest rate of 2.75% per annum. The Agreements also require the Company to transfer certain amounts of its Bitcoins to the Lender as collateral, and the loan amount will be 68% of the then-current fair market value (the “Loan-to-Value Ratio”) of the pledged Bitcoins. If the fair market value of Bitcoins fallen to below 70% of the fair market value at the loan receipt date, the Company is required to add Collateral. The repayment of the loan principal may be made in USD, USDT or if mutually agreed upon in writing prior to repayment, any other digital currency.</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80"/>
          </w:cols>
          <w:pgMar w:left="320" w:top="900" w:right="29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Pursuant to the Agreements, in June 2024, the Company pledged 330 Bitcoins as collateral to the Lender with a fair value of US$21,041 at closing and obtained a loan with principal amount of 14,308,156 USDT. The net proceeds received in June 2024, after deducting issuance cost of 178,615 USDT, were 11,252,124 USDT (with a fair value of US$11,248). The issuance costs are reported as a direct deduction from the principal of the associated loan. The remaining net proceeds of 2,769,869 USDT (with a fair value of US$2,765), after deducting issuance cost of 107,548 USDT, were subsequently received in July 2024. For the six months ended June 30, 2024, the Company was not required to add additional Bitcoins as collateral.</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June 21, 2024, the Company, through a wholly-owned subsidiary, entered into a Master Loan Agreement (the “Agreement 2”) with another third party (the “Lender 2”). Pursuant to the Agreement 2, the Lender 2 will provide a loan in amount of US$8,041 with a term of 18-months and an interest rate of 6.75% per annum. The Agreement also requires the Company to transfer 200 Bitcoins to the Lender 2 as collateral. If the fair market value of Bitcoin fallen such that the Loan-to-Value Ratio equals or exceeds 80%, the Company is required to add Collateral.</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Pursuant to the Agreement 2, in June 2024, the Company pledged 200 Bitcoins as collateral to the Lender 2 with a fair value of US$12,370 at closing and obtained a loan in amount of US$8,041. The net proceeds received in June 2024, after deducting issuance costs of US$121, were US$7,920. The issuance costs are reported as a direct deduction from the principal of the associated loan. For the six months ended June 30, 2024, the Company was not required to add additional Bitcoins as collateral.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pertaining to the above loans amounted to US$14 was recorded for the six months ended June 30, 2024.</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Pledged cyptocurrency receivable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pledged cypotocurrency receivable as of June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for quantity)</w:t>
            </w:r>
          </w:p>
        </w:tc>
        <w:tc>
          <w:tcPr>
            <w:tcW w:w="3800" w:type="dxa"/>
            <w:vAlign w:val="bottom"/>
          </w:tcPr>
          <w:p>
            <w:pPr>
              <w:spacing w:after="0"/>
              <w:rPr>
                <w:sz w:val="20"/>
                <w:szCs w:val="20"/>
                <w:color w:val="auto"/>
              </w:rPr>
            </w:pPr>
          </w:p>
        </w:tc>
        <w:tc>
          <w:tcPr>
            <w:tcW w:w="25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80" w:type="dxa"/>
            <w:vAlign w:val="bottom"/>
            <w:tcBorders>
              <w:bottom w:val="single" w:sz="8" w:color="CCEEFF"/>
            </w:tcBorders>
            <w:vMerge w:val="continue"/>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Borders>
              <w:bottom w:val="single" w:sz="8" w:color="CCEEFF"/>
            </w:tcBorders>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 Receivable</w:t>
            </w:r>
          </w:p>
        </w:tc>
        <w:tc>
          <w:tcPr>
            <w:tcW w:w="38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32,655</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gridSpan w:val="3"/>
            <w:vMerge w:val="restart"/>
          </w:tcPr>
          <w:p>
            <w:pPr>
              <w:ind w:left="1340"/>
              <w:spacing w:after="0"/>
              <w:rPr>
                <w:sz w:val="20"/>
                <w:szCs w:val="20"/>
                <w:color w:val="auto"/>
              </w:rPr>
            </w:pPr>
            <w:r>
              <w:rPr>
                <w:rFonts w:ascii="Times New Roman" w:cs="Times New Roman" w:eastAsia="Times New Roman" w:hAnsi="Times New Roman"/>
                <w:sz w:val="18"/>
                <w:szCs w:val="18"/>
                <w:color w:val="auto"/>
              </w:rPr>
              <w:t>F-18</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3"/>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9" w:lineRule="exact"/>
        <w:rPr>
          <w:rFonts w:ascii="Times New Roman" w:cs="Times New Roman" w:eastAsia="Times New Roman" w:hAnsi="Times New Roman"/>
          <w:sz w:val="18"/>
          <w:szCs w:val="18"/>
          <w:b w:val="1"/>
          <w:bCs w:val="1"/>
          <w:color w:val="auto"/>
        </w:rPr>
      </w:pPr>
    </w:p>
    <w:p>
      <w:pPr>
        <w:ind w:left="34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periods presented, the Company’s derivatives were all embedded forward contracts to receive or deliver a fixed amount of cryptocurrency in the future.</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Impact of derivatives on the Consolidated Balance Sheets</w:t>
      </w:r>
    </w:p>
    <w:p>
      <w:pPr>
        <w:spacing w:after="0" w:line="229" w:lineRule="exact"/>
        <w:rPr>
          <w:rFonts w:ascii="Times New Roman" w:cs="Times New Roman" w:eastAsia="Times New Roman" w:hAnsi="Times New Roman"/>
          <w:sz w:val="18"/>
          <w:szCs w:val="18"/>
          <w:b w:val="1"/>
          <w:bCs w:val="1"/>
          <w:color w:val="auto"/>
        </w:rPr>
      </w:pPr>
    </w:p>
    <w:p>
      <w:pPr>
        <w:ind w:left="34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balance sheet impact of derivative instruments outstanding as of June 30, 2024 and December 31, 2023 as measured in U.S. dollar equivalents, none of which were designated as hedging instruments at June 30, 2024:</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Sheets Location</w:t>
            </w:r>
          </w:p>
        </w:tc>
        <w:tc>
          <w:tcPr>
            <w:tcW w:w="19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Derivative Fair Value</w:t>
            </w:r>
          </w:p>
        </w:tc>
        <w:tc>
          <w:tcPr>
            <w:tcW w:w="18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Pledged cryptocurrency receivable</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37,316</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(4,661)</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32,655</w:t>
            </w:r>
          </w:p>
        </w:tc>
      </w:tr>
      <w:tr>
        <w:trPr>
          <w:trHeight w:val="270"/>
        </w:trPr>
        <w:tc>
          <w:tcPr>
            <w:tcW w:w="516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Accrued liabilities and other current liabilities </w:t>
            </w:r>
            <w:r>
              <w:rPr>
                <w:rFonts w:ascii="Times New Roman" w:cs="Times New Roman" w:eastAsia="Times New Roman" w:hAnsi="Times New Roman"/>
                <w:sz w:val="29"/>
                <w:szCs w:val="29"/>
                <w:color w:val="auto"/>
                <w:vertAlign w:val="superscript"/>
              </w:rPr>
              <w:t>(1)</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w:t>
            </w:r>
          </w:p>
        </w:tc>
      </w:tr>
      <w:tr>
        <w:trPr>
          <w:trHeight w:val="270"/>
        </w:trPr>
        <w:tc>
          <w:tcPr>
            <w:tcW w:w="51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Accounts payable </w:t>
            </w:r>
            <w:r>
              <w:rPr>
                <w:rFonts w:ascii="Times New Roman" w:cs="Times New Roman" w:eastAsia="Times New Roman" w:hAnsi="Times New Roman"/>
                <w:sz w:val="29"/>
                <w:szCs w:val="29"/>
                <w:color w:val="auto"/>
                <w:vertAlign w:val="superscript"/>
              </w:rPr>
              <w:t>(1)</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r>
      <w:tr>
        <w:trPr>
          <w:trHeight w:val="270"/>
        </w:trPr>
        <w:tc>
          <w:tcPr>
            <w:tcW w:w="516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Long-term loans </w:t>
            </w:r>
            <w:r>
              <w:rPr>
                <w:rFonts w:ascii="Times New Roman" w:cs="Times New Roman" w:eastAsia="Times New Roman" w:hAnsi="Times New Roman"/>
                <w:sz w:val="29"/>
                <w:szCs w:val="29"/>
                <w:color w:val="auto"/>
                <w:vertAlign w:val="superscript"/>
              </w:rPr>
              <w:t>(1)</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11,248</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11,252</w:t>
            </w:r>
          </w:p>
        </w:tc>
      </w:tr>
      <w:tr>
        <w:trPr>
          <w:trHeight w:val="22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516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Accrued liabilities and other current liabilities </w:t>
            </w:r>
            <w:r>
              <w:rPr>
                <w:rFonts w:ascii="Times New Roman" w:cs="Times New Roman" w:eastAsia="Times New Roman" w:hAnsi="Times New Roman"/>
                <w:sz w:val="29"/>
                <w:szCs w:val="29"/>
                <w:color w:val="auto"/>
                <w:vertAlign w:val="superscript"/>
              </w:rPr>
              <w:t>(1)</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4,503</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2,682</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7,185</w:t>
            </w:r>
          </w:p>
        </w:tc>
      </w:tr>
      <w:tr>
        <w:trPr>
          <w:trHeight w:val="21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US$1</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340"/>
        <w:spacing w:after="0"/>
        <w:rPr>
          <w:sz w:val="20"/>
          <w:szCs w:val="20"/>
          <w:color w:val="auto"/>
        </w:rPr>
      </w:pPr>
      <w:r>
        <w:rPr>
          <w:rFonts w:ascii="Times New Roman" w:cs="Times New Roman" w:eastAsia="Times New Roman" w:hAnsi="Times New Roman"/>
          <w:sz w:val="18"/>
          <w:szCs w:val="18"/>
          <w:color w:val="auto"/>
        </w:rPr>
        <w:t>(1) Represents the portion of the Consolidated Balance Sheet line item that is denominated in cryptocurrency.</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Impact of derivatives on the Consolidated Statements of Comprehensive Loss</w:t>
      </w:r>
    </w:p>
    <w:p>
      <w:pPr>
        <w:spacing w:after="0" w:line="229"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Gains and losses on derivative instruments recorded in other income (expense), net, in the Consolidated Statements of Comprehensive Loss were as follows:</w:t>
      </w:r>
    </w:p>
    <w:p>
      <w:pPr>
        <w:sectPr>
          <w:pgSz w:w="11900" w:h="16838" w:orient="portrait"/>
          <w:cols w:equalWidth="0" w:num="1">
            <w:col w:w="11280"/>
          </w:cols>
          <w:pgMar w:left="320" w:top="111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Pledged cryptocurrency receivable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Accrued liabilities and other current liabilities</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loans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9"/>
                <w:szCs w:val="19"/>
                <w:color w:val="auto"/>
              </w:rPr>
            </w:pPr>
          </w:p>
        </w:tc>
        <w:tc>
          <w:tcPr>
            <w:tcW w:w="202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(4,661)</w:t>
            </w:r>
          </w:p>
        </w:tc>
        <w:tc>
          <w:tcPr>
            <w:tcW w:w="160" w:type="dxa"/>
            <w:vAlign w:val="bottom"/>
          </w:tcPr>
          <w:p>
            <w:pPr>
              <w:spacing w:after="0"/>
              <w:rPr>
                <w:sz w:val="16"/>
                <w:szCs w:val="16"/>
                <w:color w:val="auto"/>
              </w:rPr>
            </w:pPr>
          </w:p>
        </w:tc>
        <w:tc>
          <w:tcPr>
            <w:tcW w:w="2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(4,566)</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29"/>
        </w:trPr>
        <w:tc>
          <w:tcPr>
            <w:tcW w:w="2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(776)</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w:t>
            </w:r>
          </w:p>
        </w:tc>
        <w:tc>
          <w:tcPr>
            <w:tcW w:w="40" w:type="dxa"/>
            <w:vAlign w:val="bottom"/>
          </w:tcPr>
          <w:p>
            <w:pPr>
              <w:spacing w:after="0"/>
              <w:rPr>
                <w:sz w:val="19"/>
                <w:szCs w:val="19"/>
                <w:color w:val="auto"/>
              </w:rPr>
            </w:pPr>
          </w:p>
        </w:tc>
      </w:tr>
      <w:tr>
        <w:trPr>
          <w:trHeight w:val="234"/>
        </w:trPr>
        <w:tc>
          <w:tcPr>
            <w:tcW w:w="2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223"/>
        </w:trPr>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-2252345</wp:posOffset>
            </wp:positionH>
            <wp:positionV relativeFrom="paragraph">
              <wp:posOffset>-744855</wp:posOffset>
            </wp:positionV>
            <wp:extent cx="498919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-462280</wp:posOffset>
            </wp:positionV>
            <wp:extent cx="498919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-179070</wp:posOffset>
            </wp:positionV>
            <wp:extent cx="4989195"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240"/>
            <w:col w:w="7400"/>
          </w:cols>
          <w:pgMar w:left="320" w:top="1116" w:right="299" w:bottom="1440" w:gutter="0" w:footer="0" w:header="0"/>
          <w:type w:val="continuous"/>
        </w:sect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80"/>
          </w:cols>
          <w:pgMar w:left="320" w:top="1116" w:right="29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Company’s derivative assets and liabilities measured and recorded at fair value on a recurring basis are classified within Level 2 of the fair value hierarchy. The Company has valued all Level 2 assets and liabilities based on quoted market prices for the underlying cryptocurrency.</w:t>
      </w:r>
    </w:p>
    <w:p>
      <w:pPr>
        <w:spacing w:after="0" w:line="15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2024, the authorized ordinary shares are 999,999,875,000, of which 4,535,322,197 shares were issued and 4,316,086,547 shares were outstanding. These outstanding shares consist of (1) 4,004,462,103 Class A ordinary shares and (2) 311,624,444 Class B ordinary shares, which were held by the Chairman and CEO of the Company.</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At-the-Market Offering Agreements</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8, 2022, the Company entered into an At-the-market offering agreement, providing for a potential at-the-market equity offering program, with H.C. Wainwright &amp; Co., LLC. For the six months ended June 30, 2023, the Company issued 1,532,219 ADSs (22,983,285 Class A ordinary shares) with net proceeds of US$4,188. Effective November 10, 2023, the Company terminated its at-the-market offering agreement with H.C. Wainwright &amp; Co., LLC.</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A Convertible Preferred Shares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November 27, 2023, the Company entered into a Securities Purchase Agreement with an institutional investor (the “Buyer”), pursuant to which the Company shall issue and sell to the Buyer up to 125,000 Series A Convertible Preferred Shares (the “Preferred Shares”) in three tranches at the price of US$1,000 for each Preferred Share. According to the Securities Purchase Agreement, the Company will issue 25,000 Preferred Shares (“First Tranche”) to the Buyer on the closing date of the First Tranche (“First Closing Date”). Upon the First Closing Date, the Company is obligated to issue a number of Preferred Shares (“Second Tranche”) that is not less than 25,000 and not more than 50,000 (the “Forward Contract Liabilities”). The closing of the third tranche of preferred shares financing (the “Third Tranche”), would be contingent upon mutual agreement between the Company and the Buyer. The Company is not obliged to sell nor is the Buyer obliged to purchase the Third Tranche. In connection with the issuance of the Preferred Shares, the Company also is required to deliver 8,000,000 ADSs (120,000,000 Class A ordinary shares) collectively as pre-delivery shares (the "Pre-delivery Shares") to the Buyer. The Pre-delivery Shares shall be returned to the Company when the Buyer does not hold any preferred shares.</w:t>
      </w:r>
    </w:p>
    <w:p>
      <w:pPr>
        <w:spacing w:after="0" w:line="173"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all the First Tranche of the Preferred Shares have been converted to Class A ordinary shares of the Company. On January 22, 2024, the Company completed the second tranche of the preferred shares financing. Pursuant to the Second Tranche Preferred Shares Financing, the Company issued 50,000 Preferred Shares in total at the price of US$1,000.00 per Preferred Share and caused The Bank of New York Mellon to deliver an additional 2,800,000 ADSs collectively as pre-delivery shares (the “Pre-delivery Shares”), each representing fifteen Class A ordinary shares of the Company, at the price of US$0.00000075 for each ADS.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fair value of the Second Tranche (US$68,496), Forward Contract Liabilities (US$18,496) and Pre-delivery Shares (US$236) upon issuance date in aggregate exceeded the net proceeds from the financing (US$49,860) by US$376, which was recognized as the excess of fair value of Series A Convertible Preferred Shares financing for the six months ended June 30, 2024.</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49,000 out of the 50,000 Preferred Shares issued pursuant to the Second Tranche were converted to 48,082,902 outstanding ADSs (721,243,530 Class A ordinary shares) at the conversion prices from $0.73 to $1.31, which are the lower of US$1.81 and 92.5% of the lowest daily average market price over 5 days before the conversion. The fair value of the Second Tranche upon the conversion dates was US$86,715, and the change in fair value of the Second Tranche was US$19,733 for the six months ended June 30, 2024.</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 of Preferred Shares and Forward Contract Liability for the six months ended June 30, 2024 consist of the followings: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Forward Contract</w:t>
            </w: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Second</w:t>
            </w:r>
          </w:p>
        </w:tc>
      </w:tr>
      <w:tr>
        <w:trPr>
          <w:trHeight w:val="238"/>
        </w:trPr>
        <w:tc>
          <w:tcPr>
            <w:tcW w:w="6580" w:type="dxa"/>
            <w:vAlign w:val="bottom"/>
          </w:tcPr>
          <w:p>
            <w:pPr>
              <w:spacing w:after="0"/>
              <w:rPr>
                <w:sz w:val="20"/>
                <w:szCs w:val="20"/>
                <w:color w:val="auto"/>
              </w:rPr>
            </w:pP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Tranche</w:t>
            </w:r>
          </w:p>
        </w:tc>
      </w:tr>
      <w:tr>
        <w:trPr>
          <w:trHeight w:val="210"/>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January 1, 2024</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40,344</w:t>
            </w:r>
          </w:p>
        </w:tc>
        <w:tc>
          <w:tcPr>
            <w:tcW w:w="1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upon issuance</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(21,848)</w:t>
            </w: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19,733</w:t>
            </w: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to second tranche</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(18,496)</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Converted from forward contract liabilities</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18,496</w:t>
            </w: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to outstanding ADSs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(86,715)</w:t>
            </w:r>
          </w:p>
        </w:tc>
      </w:tr>
      <w:tr>
        <w:trPr>
          <w:trHeight w:val="223"/>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as of June 30, 2024</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estimate the fair value of Second Tranche using the Monte Carlo model, which involves significant assumptions including the risk-free interest rate, the expected volatility and expected bond yield. The Company classifies the valuation techniques that use these inputs as Level 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56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Fair Value of Second Tranche</w:t>
            </w:r>
          </w:p>
        </w:tc>
        <w:tc>
          <w:tcPr>
            <w:tcW w:w="560" w:type="dxa"/>
            <w:vAlign w:val="bottom"/>
          </w:tcPr>
          <w:p>
            <w:pPr>
              <w:spacing w:after="0"/>
              <w:rPr>
                <w:sz w:val="20"/>
                <w:szCs w:val="20"/>
                <w:color w:val="auto"/>
              </w:rPr>
            </w:pPr>
          </w:p>
        </w:tc>
      </w:tr>
      <w:tr>
        <w:trPr>
          <w:trHeight w:val="187"/>
        </w:trPr>
        <w:tc>
          <w:tcPr>
            <w:tcW w:w="5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January 26, 2024</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to April 24, 2024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January 22, 2024</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336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2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dates)</w:t>
            </w:r>
          </w:p>
        </w:tc>
        <w:tc>
          <w:tcPr>
            <w:tcW w:w="80" w:type="dxa"/>
            <w:vAlign w:val="bottom"/>
            <w:tcBorders>
              <w:bottom w:val="single" w:sz="8" w:color="CCEEFF"/>
            </w:tcBorders>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3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4.77%-5.00%</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5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96.44%</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96.03%-110.00%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bond yield</w:t>
            </w:r>
          </w:p>
        </w:tc>
        <w:tc>
          <w:tcPr>
            <w:tcW w:w="5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7.68%-9.53%</w:t>
            </w:r>
          </w:p>
        </w:tc>
        <w:tc>
          <w:tcPr>
            <w:tcW w:w="560" w:type="dxa"/>
            <w:vAlign w:val="bottom"/>
          </w:tcPr>
          <w:p>
            <w:pPr>
              <w:spacing w:after="0"/>
              <w:rPr>
                <w:sz w:val="18"/>
                <w:szCs w:val="18"/>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F-21</w:t>
            </w: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left="340" w:right="9360" w:hanging="332"/>
        <w:spacing w:after="0" w:line="532" w:lineRule="auto"/>
        <w:tabs>
          <w:tab w:leader="none" w:pos="3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Treasury stocks Amended 2018 Plan</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Under the Amended 2018 Plan, the Company withholds the shares issued to the employees to meet the income tax withholding requirement upon the vesting of the Restricted share units. For the six months ended June 30, 2023, the Company withheld 7,923,090 Class A ordinary shares for US$1,406 and sold 7,923,090 Class A ordinary shares for US$1,406. For the six months ended June 30, 2024, the Company withheld 5,530,665 Class A ordinary shares for US$572 and sold 5,530,665 Class A ordinary shares for US$572. The Company did not retire any of the repurchased Class A ordinary shares. For the six months ended June 30, 2023, 9,867,045 restricted share units were transferred from treasury stock to ordinary shares upon vesting under the Amended 2018 Plan. For the six months ended June 30, 2024, no restricted share units were transferred from treasury stock to ordinary shares upon vesting under the Amended 2018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Effective March 16, 2022, the Board of Directors approved a share repurchase program to repurchase in the open market up to US$100 million worth of its outstanding (i) American depositary shares, each representing 15 Class A ordinary shares, and/or (ii) Class A ordinary shares over the next 24 months starting from March 16, 2022 depending on a number of factors, including, but not limited to, price, trading volume and general market conditions, along with Canaan’s working capital requirements and general business conditions, the relevant rules under United States securities laws and regulations, and the relevant stock exchange rules. During the six months ended June 30, 2023 and 2024, no outstanding ADSs were repurchased. For the six months ended June 30, 2023 and 2024, 21,712,110 and 37,869,690 restricted share units were transferred from treasury stock to ordinary shares upon vesting, respectively.</w:t>
      </w:r>
    </w:p>
    <w:p>
      <w:pPr>
        <w:spacing w:after="0" w:line="18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restricted share units (“RSUs”) activity during the six month ended June 30, 2024:</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Weighted average</w:t>
            </w:r>
          </w:p>
        </w:tc>
      </w:tr>
      <w:tr>
        <w:trPr>
          <w:trHeight w:val="234"/>
        </w:trPr>
        <w:tc>
          <w:tcPr>
            <w:tcW w:w="7720" w:type="dxa"/>
            <w:vAlign w:val="bottom"/>
          </w:tcPr>
          <w:p>
            <w:pPr>
              <w:spacing w:after="0"/>
              <w:rPr>
                <w:sz w:val="20"/>
                <w:szCs w:val="20"/>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shares</w:t>
            </w: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grant date fair value</w:t>
            </w:r>
          </w:p>
        </w:tc>
      </w:tr>
      <w:tr>
        <w:trPr>
          <w:trHeight w:val="209"/>
        </w:trPr>
        <w:tc>
          <w:tcPr>
            <w:tcW w:w="77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gridSpan w:val="2"/>
          </w:tcPr>
          <w:p>
            <w:pPr>
              <w:spacing w:after="0"/>
              <w:rPr>
                <w:sz w:val="18"/>
                <w:szCs w:val="18"/>
                <w:color w:val="auto"/>
              </w:rPr>
            </w:pPr>
          </w:p>
        </w:tc>
      </w:tr>
      <w:tr>
        <w:trPr>
          <w:trHeight w:val="243"/>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146,954,430</w:t>
            </w: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shd w:val="clear" w:color="auto" w:fill="CCEEFF"/>
          </w:tcPr>
          <w:p>
            <w:pPr>
              <w:spacing w:after="0"/>
              <w:rPr>
                <w:sz w:val="21"/>
                <w:szCs w:val="2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7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183,038,355</w:t>
            </w: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(17,139,180)</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18"/>
                <w:szCs w:val="18"/>
                <w:color w:val="auto"/>
              </w:rPr>
            </w:pPr>
          </w:p>
        </w:tc>
      </w:tr>
      <w:tr>
        <w:trPr>
          <w:trHeight w:val="23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(37,869,690)</w:t>
            </w: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shd w:val="clear" w:color="auto" w:fill="CCEEFF"/>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274,983,915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recorded an income tax benefit of US$7,797 and US$1,108 for the six months ended June 30, 2023 and 2024, representing effective tax rates of 3.8% and 1.3%, respectively.</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income tax rate of 1.3% in 2024 was lower than the statutory income tax rate of 25.0% which was primarily due to (i) additional valuation allowances provided; (ii) preferential tax rate of 15% applicable to Canaan Creative and Canaan Creative (SH) in 2024. The effective income tax rate of 3.8% in 2023 was lower than the statutory income tax rate of 25.0% which was primarily due to preferential tax rate of 15% applicable to Canaan Creative in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loss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 per share have been calculated in accordance with ASC 260 on computation of loss per share for the six months ended June 30,</w:t>
      </w:r>
    </w:p>
    <w:p>
      <w:pPr>
        <w:spacing w:after="0" w:line="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2023 and 2024, as follows: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27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six months ended June</w:t>
            </w:r>
          </w:p>
        </w:tc>
      </w:tr>
      <w:tr>
        <w:trPr>
          <w:trHeight w:val="238"/>
        </w:trPr>
        <w:tc>
          <w:tcPr>
            <w:tcW w:w="822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per share calculation</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(195,035)</w:t>
            </w:r>
          </w:p>
        </w:tc>
        <w:tc>
          <w:tcPr>
            <w:tcW w:w="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(81,273)</w:t>
            </w: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ordinary shares outstanding</w:t>
            </w: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2,523,208,771</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3,918,710,608</w:t>
            </w:r>
          </w:p>
        </w:tc>
        <w:tc>
          <w:tcPr>
            <w:tcW w:w="80" w:type="dxa"/>
            <w:vAlign w:val="bottom"/>
            <w:shd w:val="clear" w:color="auto" w:fill="CCEEFF"/>
          </w:tcPr>
          <w:p>
            <w:pPr>
              <w:spacing w:after="0"/>
              <w:rPr>
                <w:sz w:val="19"/>
                <w:szCs w:val="19"/>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Class A and Class B ordinary share (US$ cent per share)</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For the six months ended June</w:t>
      </w:r>
    </w:p>
    <w:p>
      <w:pPr>
        <w:spacing w:after="0" w:line="3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5715</wp:posOffset>
            </wp:positionV>
            <wp:extent cx="16630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ectPr>
          <w:pgSz w:w="11900" w:h="16838" w:orient="portrait"/>
          <w:cols w:equalWidth="0" w:num="1">
            <w:col w:w="11280"/>
          </w:cols>
          <w:pgMar w:left="320" w:top="900" w:right="299" w:bottom="1440" w:gutter="0" w:footer="0" w:header="0"/>
        </w:sectPr>
      </w:pP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Diluted loss per share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-125095</wp:posOffset>
            </wp:positionV>
            <wp:extent cx="69519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51980" cy="14541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9519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51980" cy="14541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Net loss</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wp:posOffset>
            </wp:positionV>
            <wp:extent cx="695198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51980" cy="13716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Weighted-average ordinary shares outstanding</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 weighted-average RSUs</w:t>
      </w:r>
    </w:p>
    <w:p>
      <w:pPr>
        <w:spacing w:after="0" w:line="20" w:lineRule="exact"/>
        <w:rPr>
          <w:sz w:val="20"/>
          <w:szCs w:val="20"/>
          <w:color w:val="auto"/>
        </w:rPr>
      </w:pPr>
      <w:r>
        <w:rPr>
          <w:sz w:val="20"/>
          <w:szCs w:val="20"/>
          <w:color w:val="auto"/>
        </w:rPr>
        <w:br w:type="column"/>
      </w:r>
    </w:p>
    <w:p>
      <w:pPr>
        <w:ind w:left="26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0" w:lineRule="exact"/>
        <w:rPr>
          <w:sz w:val="20"/>
          <w:szCs w:val="20"/>
          <w:color w:val="auto"/>
        </w:rPr>
      </w:pPr>
    </w:p>
    <w:p>
      <w:pPr>
        <w:spacing w:after="0" w:line="259" w:lineRule="exact"/>
        <w:rPr>
          <w:sz w:val="20"/>
          <w:szCs w:val="20"/>
          <w:color w:val="auto"/>
        </w:rPr>
      </w:pPr>
    </w:p>
    <w:p>
      <w:pPr>
        <w:jc w:val="right"/>
        <w:ind w:right="40"/>
        <w:spacing w:after="0"/>
        <w:tabs>
          <w:tab w:leader="none" w:pos="600" w:val="left"/>
        </w:tabs>
        <w:rPr>
          <w:sz w:val="20"/>
          <w:szCs w:val="20"/>
          <w:color w:val="auto"/>
        </w:rPr>
      </w:pPr>
      <w:r>
        <w:rPr>
          <w:rFonts w:ascii="Times New Roman" w:cs="Times New Roman" w:eastAsia="Times New Roman" w:hAnsi="Times New Roman"/>
          <w:sz w:val="18"/>
          <w:szCs w:val="18"/>
          <w:color w:val="auto"/>
        </w:rPr>
        <w:t>(195,035)</w:t>
      </w:r>
      <w:r>
        <w:rPr>
          <w:sz w:val="20"/>
          <w:szCs w:val="20"/>
          <w:color w:val="auto"/>
        </w:rPr>
        <w:tab/>
      </w:r>
      <w:r>
        <w:rPr>
          <w:rFonts w:ascii="Times New Roman" w:cs="Times New Roman" w:eastAsia="Times New Roman" w:hAnsi="Times New Roman"/>
          <w:sz w:val="18"/>
          <w:szCs w:val="18"/>
          <w:color w:val="auto"/>
        </w:rPr>
        <w:t>(81,273)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26035</wp:posOffset>
            </wp:positionV>
            <wp:extent cx="1663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32"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2,523,208,771</w:t>
      </w:r>
      <w:r>
        <w:rPr>
          <w:sz w:val="20"/>
          <w:szCs w:val="20"/>
          <w:color w:val="auto"/>
        </w:rPr>
        <w:tab/>
      </w:r>
      <w:r>
        <w:rPr>
          <w:rFonts w:ascii="Times New Roman" w:cs="Times New Roman" w:eastAsia="Times New Roman" w:hAnsi="Times New Roman"/>
          <w:sz w:val="18"/>
          <w:szCs w:val="18"/>
          <w:color w:val="auto"/>
        </w:rPr>
        <w:t>3,918,710,608</w:t>
      </w:r>
    </w:p>
    <w:p>
      <w:pPr>
        <w:spacing w:after="0" w:line="27" w:lineRule="exact"/>
        <w:rPr>
          <w:sz w:val="20"/>
          <w:szCs w:val="20"/>
          <w:color w:val="auto"/>
        </w:rPr>
      </w:pPr>
    </w:p>
    <w:p>
      <w:pPr>
        <w:ind w:left="860"/>
        <w:spacing w:after="0"/>
        <w:tabs>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1" w:lineRule="exact"/>
        <w:rPr>
          <w:sz w:val="20"/>
          <w:szCs w:val="20"/>
          <w:color w:val="auto"/>
        </w:rPr>
      </w:pPr>
    </w:p>
    <w:p>
      <w:pPr>
        <w:sectPr>
          <w:pgSz w:w="11900" w:h="16838" w:orient="portrait"/>
          <w:cols w:equalWidth="0" w:num="2">
            <w:col w:w="8000" w:space="720"/>
            <w:col w:w="2560"/>
          </w:cols>
          <w:pgMar w:left="320" w:top="900" w:right="29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8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calculating diluted earnings per Class A and Class B ordinary share</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2,523,208,771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3,918,710,608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loss per Class A and Class B ordinary share (US$ cent per share)</w:t>
            </w: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22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(7.73</w:t>
            </w:r>
          </w:p>
        </w:tc>
        <w:tc>
          <w:tcPr>
            <w:tcW w:w="22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20" w:type="dxa"/>
            <w:vAlign w:val="bottom"/>
            <w:vMerge w:val="restart"/>
          </w:tcPr>
          <w:p>
            <w:pPr>
              <w:ind w:left="5120"/>
              <w:spacing w:after="0"/>
              <w:rPr>
                <w:sz w:val="20"/>
                <w:szCs w:val="20"/>
                <w:color w:val="auto"/>
              </w:rPr>
            </w:pPr>
            <w:r>
              <w:rPr>
                <w:rFonts w:ascii="Times New Roman" w:cs="Times New Roman" w:eastAsia="Times New Roman" w:hAnsi="Times New Roman"/>
                <w:sz w:val="18"/>
                <w:szCs w:val="18"/>
                <w:color w:val="auto"/>
              </w:rPr>
              <w:t>F-24</w:t>
            </w: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900" w:right="29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and, from time to time, may in the future become, involved in other legal proceedings in the ordinary course of business. The Company currently believes that the outcome of any of these existing legal proceedings, either individually or in the aggregate, will not have a material impact on the operating results, financial condition or cash flows of the Company. With respect to existing legal proceedings, the Company has either determined that the existence of a material loss is not reasonably possible or that it is unable to estimate a reasonably possible loss or range of loss. The Company may incur substantial legal fees, which are expensed as incurred, in defending against these legal proceedings.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Changes in shareholders’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4"/>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Treasury stocks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restart"/>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4"/>
        </w:trPr>
        <w:tc>
          <w:tcPr>
            <w:tcW w:w="2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1020" w:type="dxa"/>
            <w:vAlign w:val="bottom"/>
            <w:gridSpan w:val="2"/>
            <w:vMerge w:val="continue"/>
          </w:tcPr>
          <w:p>
            <w:pPr>
              <w:spacing w:after="0"/>
              <w:rPr>
                <w:sz w:val="9"/>
                <w:szCs w:val="9"/>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vMerge w:val="continue"/>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receivables from</w:t>
            </w:r>
          </w:p>
        </w:tc>
        <w:tc>
          <w:tcPr>
            <w:tcW w:w="820" w:type="dxa"/>
            <w:vAlign w:val="bottom"/>
            <w:gridSpan w:val="2"/>
            <w:vMerge w:val="continue"/>
          </w:tcPr>
          <w:p>
            <w:pPr>
              <w:spacing w:after="0"/>
              <w:rPr>
                <w:sz w:val="12"/>
                <w:szCs w:val="12"/>
                <w:color w:val="auto"/>
              </w:rPr>
            </w:pPr>
          </w:p>
        </w:tc>
        <w:tc>
          <w:tcPr>
            <w:tcW w:w="6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80" w:type="dxa"/>
            <w:vAlign w:val="bottom"/>
            <w:gridSpan w:val="2"/>
            <w:vMerge w:val="continue"/>
          </w:tcPr>
          <w:p>
            <w:pPr>
              <w:spacing w:after="0"/>
              <w:rPr>
                <w:sz w:val="12"/>
                <w:szCs w:val="12"/>
                <w:color w:val="auto"/>
              </w:rPr>
            </w:pPr>
          </w:p>
        </w:tc>
        <w:tc>
          <w:tcPr>
            <w:tcW w:w="1020" w:type="dxa"/>
            <w:vAlign w:val="bottom"/>
            <w:gridSpan w:val="2"/>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vMerge w:val="continue"/>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vMerge w:val="continue"/>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2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loss</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23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as of January 1, 2023</w:t>
            </w: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2,496,001,757</w:t>
            </w: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3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ind w:left="8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308,136,735</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(57,055</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492,220</w:t>
            </w: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14,892</w:t>
            </w: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(36,913</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194,522</w:t>
            </w: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607,666</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ordinary shares in at-the-</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8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22,983,285</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4,188</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4,188</w:t>
            </w:r>
          </w:p>
        </w:tc>
        <w:tc>
          <w:tcPr>
            <w:tcW w:w="0" w:type="dxa"/>
            <w:vAlign w:val="bottom"/>
          </w:tcPr>
          <w:p>
            <w:pPr>
              <w:spacing w:after="0"/>
              <w:rPr>
                <w:sz w:val="1"/>
                <w:szCs w:val="1"/>
                <w:color w:val="auto"/>
              </w:rPr>
            </w:pPr>
          </w:p>
        </w:tc>
      </w:tr>
      <w:tr>
        <w:trPr>
          <w:trHeight w:val="171"/>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market offering, net of offering cost</w:t>
            </w: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23,680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23,680</w:t>
            </w:r>
          </w:p>
        </w:tc>
        <w:tc>
          <w:tcPr>
            <w:tcW w:w="0" w:type="dxa"/>
            <w:vAlign w:val="bottom"/>
          </w:tcPr>
          <w:p>
            <w:pPr>
              <w:spacing w:after="0"/>
              <w:rPr>
                <w:sz w:val="1"/>
                <w:szCs w:val="1"/>
                <w:color w:val="auto"/>
              </w:rPr>
            </w:pPr>
          </w:p>
        </w:tc>
      </w:tr>
      <w:tr>
        <w:trPr>
          <w:trHeight w:val="126"/>
        </w:trPr>
        <w:tc>
          <w:tcPr>
            <w:tcW w:w="2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Repurchase of vested employee</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 units for tax</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80" w:type="dxa"/>
            <w:vAlign w:val="bottom"/>
          </w:tcPr>
          <w:p>
            <w:pPr>
              <w:spacing w:after="0"/>
              <w:rPr>
                <w:sz w:val="12"/>
                <w:szCs w:val="12"/>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(7,923,090)</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7,923,090</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171"/>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withholding</w:t>
            </w: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Resale of vested employee restricted</w:t>
            </w:r>
          </w:p>
        </w:tc>
        <w:tc>
          <w:tcPr>
            <w:tcW w:w="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80" w:type="dxa"/>
            <w:vAlign w:val="bottom"/>
            <w:shd w:val="clear" w:color="auto" w:fill="CCEEFF"/>
          </w:tcPr>
          <w:p>
            <w:pPr>
              <w:spacing w:after="0"/>
              <w:rPr>
                <w:sz w:val="10"/>
                <w:szCs w:val="10"/>
                <w:color w:val="auto"/>
              </w:rPr>
            </w:pPr>
          </w:p>
        </w:tc>
        <w:tc>
          <w:tcPr>
            <w:tcW w:w="9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7,923,090</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(7,923,090)</w:t>
            </w:r>
          </w:p>
        </w:tc>
        <w:tc>
          <w:tcPr>
            <w:tcW w:w="62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1,406</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units for tax withholding</w:t>
            </w: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share units</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31,579,155</w:t>
            </w:r>
          </w:p>
        </w:tc>
        <w:tc>
          <w:tcPr>
            <w:tcW w:w="6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(31,579,155)</w:t>
            </w:r>
          </w:p>
        </w:tc>
        <w:tc>
          <w:tcPr>
            <w:tcW w:w="62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(14,360)</w:t>
            </w:r>
          </w:p>
        </w:tc>
        <w:tc>
          <w:tcPr>
            <w:tcW w:w="9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(14,360)</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(195,035)</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(195,035)</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June 30, 2023</w:t>
            </w: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2,550,564,197</w:t>
            </w:r>
          </w:p>
        </w:tc>
        <w:tc>
          <w:tcPr>
            <w:tcW w:w="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vMerge w:val="continue"/>
            <w:shd w:val="clear" w:color="auto" w:fill="CCEEFF"/>
          </w:tcPr>
          <w:p>
            <w:pPr>
              <w:spacing w:after="0"/>
              <w:rPr>
                <w:sz w:val="15"/>
                <w:szCs w:val="15"/>
                <w:color w:val="auto"/>
              </w:rPr>
            </w:pPr>
          </w:p>
        </w:tc>
        <w:tc>
          <w:tcPr>
            <w:tcW w:w="10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vMerge w:val="continue"/>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276,557,580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(57,055)</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520,088</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14,892</w:t>
            </w:r>
          </w:p>
        </w:tc>
        <w:tc>
          <w:tcPr>
            <w:tcW w:w="10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(51,273)</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426,139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4"/>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Treasury stocks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4"/>
        </w:trPr>
        <w:tc>
          <w:tcPr>
            <w:tcW w:w="2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Statutory</w:t>
            </w:r>
          </w:p>
        </w:tc>
        <w:tc>
          <w:tcPr>
            <w:tcW w:w="1020" w:type="dxa"/>
            <w:vAlign w:val="bottom"/>
            <w:gridSpan w:val="2"/>
            <w:vMerge w:val="continue"/>
          </w:tcPr>
          <w:p>
            <w:pPr>
              <w:spacing w:after="0"/>
              <w:rPr>
                <w:sz w:val="9"/>
                <w:szCs w:val="9"/>
                <w:color w:val="auto"/>
              </w:rPr>
            </w:pPr>
          </w:p>
        </w:tc>
        <w:tc>
          <w:tcPr>
            <w:tcW w:w="6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20" w:type="dxa"/>
            <w:vAlign w:val="bottom"/>
            <w:gridSpan w:val="2"/>
            <w:vMerge w:val="continue"/>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receivables from</w:t>
            </w:r>
          </w:p>
        </w:tc>
        <w:tc>
          <w:tcPr>
            <w:tcW w:w="82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60" w:type="dxa"/>
            <w:vAlign w:val="bottom"/>
            <w:gridSpan w:val="2"/>
            <w:vMerge w:val="continue"/>
          </w:tcPr>
          <w:p>
            <w:pPr>
              <w:spacing w:after="0"/>
              <w:rPr>
                <w:sz w:val="12"/>
                <w:szCs w:val="12"/>
                <w:color w:val="auto"/>
              </w:rPr>
            </w:pPr>
          </w:p>
        </w:tc>
        <w:tc>
          <w:tcPr>
            <w:tcW w:w="102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40" w:type="dxa"/>
            <w:vAlign w:val="bottom"/>
            <w:gridSpan w:val="2"/>
            <w:vMerge w:val="continue"/>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vMerge w:val="continue"/>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vMerge w:val="continue"/>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2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6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5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3,514,973,327</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ind w:left="4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257,105,340</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(57,055</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653,860</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14,892</w:t>
            </w: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(43,879</w:t>
            </w:r>
          </w:p>
        </w:tc>
        <w:tc>
          <w:tcPr>
            <w:tcW w:w="100" w:type="dxa"/>
            <w:vAlign w:val="bottom"/>
            <w:tcBorders>
              <w:top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(219,631</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348,187</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Cumulative effect of the adoption of ASU</w:t>
            </w:r>
          </w:p>
        </w:tc>
        <w:tc>
          <w:tcPr>
            <w:tcW w:w="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2(d)</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18,893</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18,893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2023-08</w:t>
            </w:r>
          </w:p>
        </w:tc>
        <w:tc>
          <w:tcPr>
            <w:tcW w:w="5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as of January 1, 2024</w:t>
            </w:r>
          </w:p>
        </w:tc>
        <w:tc>
          <w:tcPr>
            <w:tcW w:w="4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3,514,973,327</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257,105,340</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(57,055</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653,860</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14,892</w:t>
            </w: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(43,879</w:t>
            </w:r>
          </w:p>
        </w:tc>
        <w:tc>
          <w:tcPr>
            <w:tcW w:w="10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(200,738</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367,080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14,436</w:t>
            </w:r>
          </w:p>
        </w:tc>
        <w:tc>
          <w:tcPr>
            <w:tcW w:w="80" w:type="dxa"/>
            <w:vAlign w:val="bottom"/>
          </w:tcPr>
          <w:p>
            <w:pPr>
              <w:spacing w:after="0"/>
              <w:rPr>
                <w:sz w:val="12"/>
                <w:szCs w:val="12"/>
                <w:color w:val="auto"/>
              </w:rPr>
            </w:pPr>
          </w:p>
        </w:tc>
        <w:tc>
          <w:tcPr>
            <w:tcW w:w="58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14,436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Repurchase of vested employee restricted</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(5,530,665)</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5,530,665</w:t>
            </w:r>
          </w:p>
        </w:tc>
        <w:tc>
          <w:tcPr>
            <w:tcW w:w="64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(572)</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units for tax withholding</w:t>
            </w: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Resale of vested employee restricted share</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8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5,530,665</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(5,530,665)</w:t>
            </w:r>
          </w:p>
        </w:tc>
        <w:tc>
          <w:tcPr>
            <w:tcW w:w="6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572</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units for tax withholding</w:t>
            </w: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ordinary shares pursuant to</w:t>
            </w: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shares financing, net of</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721,243,530</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86,707</w:t>
            </w:r>
          </w:p>
        </w:tc>
        <w:tc>
          <w:tcPr>
            <w:tcW w:w="6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86,707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offering cost</w:t>
            </w: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ordinary shares pursuant to</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8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42,000,000</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236</w:t>
            </w:r>
          </w:p>
        </w:tc>
        <w:tc>
          <w:tcPr>
            <w:tcW w:w="6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lending arrangement</w:t>
            </w: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share units</w:t>
            </w: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37,869,690</w:t>
            </w:r>
          </w:p>
        </w:tc>
        <w:tc>
          <w:tcPr>
            <w:tcW w:w="6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(37,869,690)</w:t>
            </w:r>
          </w:p>
        </w:tc>
        <w:tc>
          <w:tcPr>
            <w:tcW w:w="6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(8,986)</w:t>
            </w:r>
          </w:p>
        </w:tc>
        <w:tc>
          <w:tcPr>
            <w:tcW w:w="64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(8,986)</w:t>
            </w: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(81,273)</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(81,273)</w:t>
            </w:r>
          </w:p>
        </w:tc>
        <w:tc>
          <w:tcPr>
            <w:tcW w:w="0" w:type="dxa"/>
            <w:vAlign w:val="bottom"/>
          </w:tcPr>
          <w:p>
            <w:pPr>
              <w:spacing w:after="0"/>
              <w:rPr>
                <w:sz w:val="1"/>
                <w:szCs w:val="1"/>
                <w:color w:val="auto"/>
              </w:rPr>
            </w:pPr>
          </w:p>
        </w:tc>
      </w:tr>
      <w:tr>
        <w:trPr>
          <w:trHeight w:val="156"/>
        </w:trPr>
        <w:tc>
          <w:tcPr>
            <w:tcW w:w="25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as of June 30, 2024</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4,316,086,547</w:t>
            </w:r>
          </w:p>
        </w:tc>
        <w:tc>
          <w:tcPr>
            <w:tcW w:w="100" w:type="dxa"/>
            <w:vAlign w:val="bottom"/>
          </w:tcPr>
          <w:p>
            <w:pPr>
              <w:spacing w:after="0"/>
              <w:rPr>
                <w:sz w:val="13"/>
                <w:szCs w:val="13"/>
                <w:color w:val="auto"/>
              </w:rPr>
            </w:pPr>
          </w:p>
        </w:tc>
        <w:tc>
          <w:tcPr>
            <w:tcW w:w="540" w:type="dxa"/>
            <w:vAlign w:val="bottom"/>
            <w:tcBorders>
              <w:top w:val="single" w:sz="8" w:color="auto"/>
              <w:bottom w:val="single" w:sz="8" w:color="auto"/>
            </w:tcBorders>
          </w:tcPr>
          <w:p>
            <w:pPr>
              <w:ind w:left="4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219,235,650</w:t>
            </w:r>
          </w:p>
        </w:tc>
        <w:tc>
          <w:tcPr>
            <w:tcW w:w="1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(57,055</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755,239</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14,892</w:t>
            </w:r>
          </w:p>
        </w:tc>
        <w:tc>
          <w:tcPr>
            <w:tcW w:w="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(52,865</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(282,011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378,200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lvl w:ilvl="1">
      <w:lvlJc w:val="left"/>
      <w:lvlText w:val="(%2)"/>
      <w:numFmt w:val="lowerLetter"/>
      <w:start w:val="1"/>
    </w:lvl>
  </w:abstractNum>
  <w:abstractNum w:abstractNumId="1">
    <w:nsid w:val="7545E146"/>
    <w:multiLevelType w:val="hybridMultilevel"/>
    <w:lvl w:ilvl="0">
      <w:lvlJc w:val="left"/>
      <w:lvlText w:val="%1."/>
      <w:numFmt w:val="decimal"/>
      <w:start w:val="3"/>
    </w:lvl>
  </w:abstractNum>
  <w:abstractNum w:abstractNumId="2">
    <w:nsid w:val="515F007C"/>
    <w:multiLevelType w:val="hybridMultilevel"/>
    <w:lvl w:ilvl="0">
      <w:lvlJc w:val="left"/>
      <w:lvlText w:val="%1."/>
      <w:numFmt w:val="decimal"/>
      <w:start w:val="4"/>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1."/>
      <w:numFmt w:val="decimal"/>
      <w:start w:val="7"/>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0"/>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3"/>
    </w:lvl>
  </w:abstractNum>
  <w:abstractNum w:abstractNumId="10">
    <w:nsid w:val="140E0F76"/>
    <w:multiLevelType w:val="hybridMultilevel"/>
    <w:lvl w:ilvl="0">
      <w:lvlJc w:val="left"/>
      <w:lvlText w:val="%1."/>
      <w:numFmt w:val="decimal"/>
      <w:start w:val="14"/>
    </w:lvl>
  </w:abstractNum>
  <w:abstractNum w:abstractNumId="11">
    <w:nsid w:val="3352255A"/>
    <w:multiLevelType w:val="hybridMultilevel"/>
    <w:lvl w:ilvl="0">
      <w:lvlJc w:val="left"/>
      <w:lvlText w:val="%1."/>
      <w:numFmt w:val="decimal"/>
      <w:start w:val="15"/>
    </w:lvl>
  </w:abstractNum>
  <w:abstractNum w:abstractNumId="12">
    <w:nsid w:val="109CF92E"/>
    <w:multiLevelType w:val="hybridMultilevel"/>
    <w:lvl w:ilvl="0">
      <w:lvlJc w:val="left"/>
      <w:lvlText w:val="%1."/>
      <w:numFmt w:val="decimal"/>
      <w:start w:val="16"/>
    </w:lvl>
  </w:abstractNum>
  <w:abstractNum w:abstractNumId="13">
    <w:nsid w:val="DED7263"/>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2024-09-03T07:16:44Z</dcterms:created>
  <dcterms:modified xsi:type="dcterms:W3CDTF">2024-09-03T07:16:44Z</dcterms:modified>
</cp:coreProperties>
</file>