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43"/>
          <w:szCs w:val="43"/>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Canaan Inc. Provides February 2026 Bitcoin Production and Mining Operation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167640</wp:posOffset>
            </wp:positionV>
            <wp:extent cx="125984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98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Canaan Inc. Provides February 2026 Bitcoin Production and Mining Operation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Doubles down on energy strategy with West Texas joint venture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SINGAPORE, March 10, 2026 /PRNewswire/ -- Canaan Inc. (NASDAQ: CAN) (“Canaan” or the “Company”), an innovator in crypto mining, today released its unaudited bitcoin mining update for the month ending February 28,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continued strategic execution highlights the importance of integrating energy resources into our strategy as we strengthen our focus on expanding our US footprint and continuing our long-standing track record of operational excellence,” said Nangeng Zhang, chairman and chief executive officer of Canaan. “In February, we produced 86 BTC, bringing our total cryptocurrency holdings to a record-high treasury of 1,793 BTC and 3,952 ETH, with an estimated value of US$128 million, excluding the digital assets held by our joint venture. As we maintain a long-term perspective on building and managing our digital asset treasury, these reserves further reinforce the strength and resilience of our balance sheet.”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Zhang continued, “Our mining fleet also continued to expand. By month end, our deployed hashrate reached 14.75 EH/s, including approximately 4.4EH/s at Alborz, Bear and Chief Mountain data centers, which we have acquired a 49% stake in a groundbreaking transaction that brought Cipher on board as a significant shareholder. With that acquisition, we further expanded our North American footprint and strengthened Canaan’s energy strategy, adding 120 MW of power capacity at highly competitive average rates of below US$0.03/kWh to our existing 98.4 MW of installed capacity in North America.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our recent expansion in West Texas, we are advancing Canaan’s broader energy strategy, deepening our integration with high-quality power resources, scaling in strategically advantaged markets, and expanding the growth potential of our mining business. As our infrastructure footprint expands, our disciplined power procurement strategy, growing operational scale, and continued efficiency improvements position us to navigate market volatility with resilience, strengthening our role as a leader in energy-integrated digital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2026 Bitcoin Mining Updates (unaudited)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5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Key Metrics</w:t>
            </w:r>
          </w:p>
        </w:tc>
        <w:tc>
          <w:tcPr>
            <w:tcW w:w="5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Results (Rounded Numbers)</w:t>
            </w:r>
          </w:p>
        </w:tc>
      </w:tr>
      <w:tr>
        <w:trPr>
          <w:trHeight w:val="210"/>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Bitcoins Mined During the Month</w:t>
            </w:r>
          </w:p>
        </w:tc>
        <w:tc>
          <w:tcPr>
            <w:tcW w:w="5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86 BTC</w:t>
            </w:r>
          </w:p>
        </w:tc>
      </w:tr>
      <w:tr>
        <w:trPr>
          <w:trHeight w:val="196"/>
        </w:trPr>
        <w:tc>
          <w:tcPr>
            <w:tcW w:w="554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Month-End Bitcoins and ETH Owned by Canaan Inc. on Balance Sheet</w:t>
            </w:r>
            <w:r>
              <w:rPr>
                <w:rFonts w:ascii="Times New Roman" w:cs="Times New Roman" w:eastAsia="Times New Roman" w:hAnsi="Times New Roman"/>
                <w:sz w:val="22"/>
                <w:szCs w:val="22"/>
                <w:color w:val="auto"/>
                <w:vertAlign w:val="superscript"/>
              </w:rPr>
              <w:t>1</w:t>
            </w:r>
          </w:p>
        </w:tc>
        <w:tc>
          <w:tcPr>
            <w:tcW w:w="57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1,793 BTC</w:t>
            </w:r>
          </w:p>
        </w:tc>
      </w:tr>
      <w:tr>
        <w:trPr>
          <w:trHeight w:val="230"/>
        </w:trPr>
        <w:tc>
          <w:tcPr>
            <w:tcW w:w="5540" w:type="dxa"/>
            <w:vAlign w:val="bottom"/>
            <w:tcBorders>
              <w:left w:val="single" w:sz="8" w:color="auto"/>
              <w:bottom w:val="single" w:sz="8" w:color="auto"/>
              <w:right w:val="single" w:sz="8" w:color="auto"/>
            </w:tcBorders>
          </w:tcPr>
          <w:p>
            <w:pPr>
              <w:spacing w:after="0"/>
              <w:rPr>
                <w:sz w:val="19"/>
                <w:szCs w:val="19"/>
                <w:color w:val="auto"/>
              </w:rPr>
            </w:pPr>
          </w:p>
        </w:tc>
        <w:tc>
          <w:tcPr>
            <w:tcW w:w="5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3,952 ETH</w:t>
            </w:r>
          </w:p>
        </w:tc>
      </w:tr>
      <w:tr>
        <w:trPr>
          <w:trHeight w:val="195"/>
        </w:trPr>
        <w:tc>
          <w:tcPr>
            <w:tcW w:w="554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Month-End Deployed Hashrate (EH/s)</w:t>
            </w:r>
          </w:p>
        </w:tc>
        <w:tc>
          <w:tcPr>
            <w:tcW w:w="57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Non-JV: 10.35 EH/s</w:t>
            </w:r>
          </w:p>
        </w:tc>
      </w:tr>
      <w:tr>
        <w:trPr>
          <w:trHeight w:val="271"/>
        </w:trPr>
        <w:tc>
          <w:tcPr>
            <w:tcW w:w="5540" w:type="dxa"/>
            <w:vAlign w:val="bottom"/>
            <w:tcBorders>
              <w:left w:val="single" w:sz="8" w:color="auto"/>
              <w:bottom w:val="single" w:sz="8" w:color="auto"/>
              <w:right w:val="single" w:sz="8" w:color="auto"/>
            </w:tcBorders>
          </w:tcPr>
          <w:p>
            <w:pPr>
              <w:spacing w:after="0"/>
              <w:rPr>
                <w:sz w:val="23"/>
                <w:szCs w:val="23"/>
                <w:color w:val="auto"/>
              </w:rPr>
            </w:pPr>
          </w:p>
        </w:tc>
        <w:tc>
          <w:tcPr>
            <w:tcW w:w="5700" w:type="dxa"/>
            <w:vAlign w:val="bottom"/>
            <w:tcBorders>
              <w:bottom w:val="single" w:sz="8" w:color="auto"/>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4.4 EH/s</w:t>
            </w:r>
          </w:p>
        </w:tc>
      </w:tr>
      <w:tr>
        <w:trPr>
          <w:trHeight w:val="195"/>
        </w:trPr>
        <w:tc>
          <w:tcPr>
            <w:tcW w:w="554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Month-End Operating Hashrate (EH/s)</w:t>
            </w:r>
          </w:p>
        </w:tc>
        <w:tc>
          <w:tcPr>
            <w:tcW w:w="570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Non-JV: 6.90 EH/s</w:t>
            </w:r>
          </w:p>
        </w:tc>
      </w:tr>
      <w:tr>
        <w:trPr>
          <w:trHeight w:val="271"/>
        </w:trPr>
        <w:tc>
          <w:tcPr>
            <w:tcW w:w="5540" w:type="dxa"/>
            <w:vAlign w:val="bottom"/>
            <w:tcBorders>
              <w:left w:val="single" w:sz="8" w:color="auto"/>
              <w:bottom w:val="single" w:sz="8" w:color="auto"/>
              <w:right w:val="single" w:sz="8" w:color="auto"/>
            </w:tcBorders>
          </w:tcPr>
          <w:p>
            <w:pPr>
              <w:spacing w:after="0"/>
              <w:rPr>
                <w:sz w:val="23"/>
                <w:szCs w:val="23"/>
                <w:color w:val="auto"/>
              </w:rPr>
            </w:pPr>
          </w:p>
        </w:tc>
        <w:tc>
          <w:tcPr>
            <w:tcW w:w="5700" w:type="dxa"/>
            <w:vAlign w:val="bottom"/>
            <w:tcBorders>
              <w:bottom w:val="single" w:sz="8" w:color="auto"/>
              <w:right w:val="single" w:sz="8" w:color="auto"/>
            </w:tcBorders>
          </w:tcPr>
          <w:p>
            <w:pPr>
              <w:ind w:left="80"/>
              <w:spacing w:after="0" w:line="271"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N/A</w:t>
            </w:r>
          </w:p>
        </w:tc>
      </w:tr>
      <w:tr>
        <w:trPr>
          <w:trHeight w:val="250"/>
        </w:trPr>
        <w:tc>
          <w:tcPr>
            <w:tcW w:w="55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7"/>
                <w:szCs w:val="17"/>
                <w:color w:val="auto"/>
              </w:rPr>
              <w:t>Month-End Average Revenue Split</w:t>
            </w:r>
            <w:r>
              <w:rPr>
                <w:rFonts w:ascii="Times New Roman" w:cs="Times New Roman" w:eastAsia="Times New Roman" w:hAnsi="Times New Roman"/>
                <w:sz w:val="28"/>
                <w:szCs w:val="28"/>
                <w:color w:val="auto"/>
                <w:vertAlign w:val="superscript"/>
              </w:rPr>
              <w:t>2</w:t>
            </w:r>
          </w:p>
        </w:tc>
        <w:tc>
          <w:tcPr>
            <w:tcW w:w="5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59.0% (Non-JV ownership)</w:t>
            </w:r>
          </w:p>
        </w:tc>
      </w:tr>
      <w:tr>
        <w:trPr>
          <w:trHeight w:val="250"/>
        </w:trPr>
        <w:tc>
          <w:tcPr>
            <w:tcW w:w="554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Times New Roman" w:cs="Times New Roman" w:eastAsia="Times New Roman" w:hAnsi="Times New Roman"/>
                <w:sz w:val="17"/>
                <w:szCs w:val="17"/>
                <w:color w:val="auto"/>
              </w:rPr>
              <w:t>Average All-in Power Cost During the Month</w:t>
            </w:r>
            <w:r>
              <w:rPr>
                <w:rFonts w:ascii="Times New Roman" w:cs="Times New Roman" w:eastAsia="Times New Roman" w:hAnsi="Times New Roman"/>
                <w:sz w:val="28"/>
                <w:szCs w:val="28"/>
                <w:color w:val="auto"/>
                <w:vertAlign w:val="superscript"/>
              </w:rPr>
              <w:t>3</w:t>
            </w:r>
          </w:p>
        </w:tc>
        <w:tc>
          <w:tcPr>
            <w:tcW w:w="5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US$0.044/kWh</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2026 Bitcoin Mining Infrastructure Updates (unaudited)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04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30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Non-North America</w:t>
            </w:r>
          </w:p>
        </w:tc>
        <w:tc>
          <w:tcPr>
            <w:tcW w:w="30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w:t>
            </w:r>
          </w:p>
        </w:tc>
      </w:tr>
      <w:tr>
        <w:trPr>
          <w:trHeight w:val="191"/>
        </w:trPr>
        <w:tc>
          <w:tcPr>
            <w:tcW w:w="2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Month-End Average</w:t>
            </w:r>
          </w:p>
        </w:tc>
        <w:tc>
          <w:tcPr>
            <w:tcW w:w="7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6"/>
              </w:rPr>
              <w:t>Non-JV:</w:t>
            </w:r>
          </w:p>
        </w:tc>
        <w:tc>
          <w:tcPr>
            <w:tcW w:w="2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19.2 J/TH</w:t>
            </w:r>
          </w:p>
        </w:tc>
        <w:tc>
          <w:tcPr>
            <w:tcW w:w="30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29.0 J/TH</w:t>
            </w:r>
          </w:p>
        </w:tc>
        <w:tc>
          <w:tcPr>
            <w:tcW w:w="3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Non-JV: 24.0 J/TH</w:t>
            </w:r>
          </w:p>
        </w:tc>
      </w:tr>
      <w:tr>
        <w:trPr>
          <w:trHeight w:val="275"/>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Miner Efficiency</w:t>
            </w:r>
          </w:p>
        </w:tc>
        <w:tc>
          <w:tcPr>
            <w:tcW w:w="3040" w:type="dxa"/>
            <w:vAlign w:val="bottom"/>
            <w:tcBorders>
              <w:bottom w:val="single" w:sz="8" w:color="auto"/>
              <w:right w:val="single" w:sz="8" w:color="auto"/>
            </w:tcBorders>
            <w:gridSpan w:val="2"/>
          </w:tcPr>
          <w:p>
            <w:pPr>
              <w:ind w:left="100"/>
              <w:spacing w:after="0" w:line="274"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25.7 J/TH</w:t>
            </w:r>
          </w:p>
        </w:tc>
        <w:tc>
          <w:tcPr>
            <w:tcW w:w="3020" w:type="dxa"/>
            <w:vAlign w:val="bottom"/>
            <w:tcBorders>
              <w:bottom w:val="single" w:sz="8" w:color="auto"/>
              <w:right w:val="single" w:sz="8" w:color="auto"/>
            </w:tcBorders>
          </w:tcPr>
          <w:p>
            <w:pPr>
              <w:spacing w:after="0"/>
              <w:rPr>
                <w:sz w:val="23"/>
                <w:szCs w:val="23"/>
                <w:color w:val="auto"/>
              </w:rPr>
            </w:pPr>
          </w:p>
        </w:tc>
        <w:tc>
          <w:tcPr>
            <w:tcW w:w="3020" w:type="dxa"/>
            <w:vAlign w:val="bottom"/>
            <w:tcBorders>
              <w:bottom w:val="single" w:sz="8" w:color="auto"/>
              <w:right w:val="single" w:sz="8" w:color="auto"/>
            </w:tcBorders>
          </w:tcPr>
          <w:p>
            <w:pPr>
              <w:ind w:left="100"/>
              <w:spacing w:after="0" w:line="274"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25.7 J/TH</w:t>
            </w:r>
          </w:p>
        </w:tc>
      </w:tr>
      <w:tr>
        <w:trPr>
          <w:trHeight w:val="191"/>
        </w:trPr>
        <w:tc>
          <w:tcPr>
            <w:tcW w:w="21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Month-End Installed</w:t>
            </w:r>
          </w:p>
        </w:tc>
        <w:tc>
          <w:tcPr>
            <w:tcW w:w="7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6"/>
              </w:rPr>
              <w:t>Non-JV:</w:t>
            </w:r>
          </w:p>
        </w:tc>
        <w:tc>
          <w:tcPr>
            <w:tcW w:w="23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98.4 MW</w:t>
            </w:r>
          </w:p>
        </w:tc>
        <w:tc>
          <w:tcPr>
            <w:tcW w:w="30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157.5 MW</w:t>
            </w:r>
          </w:p>
        </w:tc>
        <w:tc>
          <w:tcPr>
            <w:tcW w:w="3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Non-JV: 255.9 MW</w:t>
            </w:r>
          </w:p>
        </w:tc>
      </w:tr>
      <w:tr>
        <w:trPr>
          <w:trHeight w:val="275"/>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Power Capacity</w:t>
            </w:r>
          </w:p>
        </w:tc>
        <w:tc>
          <w:tcPr>
            <w:tcW w:w="3040" w:type="dxa"/>
            <w:vAlign w:val="bottom"/>
            <w:tcBorders>
              <w:bottom w:val="single" w:sz="8" w:color="auto"/>
              <w:right w:val="single" w:sz="8" w:color="auto"/>
            </w:tcBorders>
            <w:gridSpan w:val="2"/>
          </w:tcPr>
          <w:p>
            <w:pPr>
              <w:ind w:left="100"/>
              <w:spacing w:after="0" w:line="274"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120 MW</w:t>
            </w:r>
          </w:p>
        </w:tc>
        <w:tc>
          <w:tcPr>
            <w:tcW w:w="3020" w:type="dxa"/>
            <w:vAlign w:val="bottom"/>
            <w:tcBorders>
              <w:bottom w:val="single" w:sz="8" w:color="auto"/>
              <w:right w:val="single" w:sz="8" w:color="auto"/>
            </w:tcBorders>
          </w:tcPr>
          <w:p>
            <w:pPr>
              <w:spacing w:after="0"/>
              <w:rPr>
                <w:sz w:val="23"/>
                <w:szCs w:val="23"/>
                <w:color w:val="auto"/>
              </w:rPr>
            </w:pPr>
          </w:p>
        </w:tc>
        <w:tc>
          <w:tcPr>
            <w:tcW w:w="3020" w:type="dxa"/>
            <w:vAlign w:val="bottom"/>
            <w:tcBorders>
              <w:bottom w:val="single" w:sz="8" w:color="auto"/>
              <w:right w:val="single" w:sz="8" w:color="auto"/>
            </w:tcBorders>
          </w:tcPr>
          <w:p>
            <w:pPr>
              <w:ind w:left="100"/>
              <w:spacing w:after="0" w:line="274" w:lineRule="exact"/>
              <w:rPr>
                <w:sz w:val="20"/>
                <w:szCs w:val="20"/>
                <w:color w:val="auto"/>
              </w:rPr>
            </w:pPr>
            <w:r>
              <w:rPr>
                <w:rFonts w:ascii="Times New Roman" w:cs="Times New Roman" w:eastAsia="Times New Roman" w:hAnsi="Times New Roman"/>
                <w:sz w:val="18"/>
                <w:szCs w:val="18"/>
                <w:color w:val="auto"/>
              </w:rPr>
              <w:t>JV</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120 MW</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340" w:hanging="332"/>
        <w:spacing w:after="0" w:line="284"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total number of bitcoins and ETH owned by the Company on its balance sheet, including any bitcoins and ETH receivable, excluding bitcoins and ETH that the Company has received as customer deposits.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weighted average percentage that Canaan would receive from the total revenues generated according to the applicable joint mining arrangements if 100% of the mining machines consisting of Installed Computing Power (as defined below) were energized.</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weighted average cost of power if 100% of the mining machines consisting of Installed Computing Power were energized.</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“JV” represents the Company’s 49% stake in the Alborz, Bear, and Chief Mountain facilities in West Texas. JV metrics are shown separately and are not included in bitcoin production or average all-in power cost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4200" w:type="dxa"/>
            <w:vAlign w:val="bottom"/>
            <w:gridSpan w:val="5"/>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Current Mining Projects (As of February 28, 2026)</w:t>
            </w:r>
            <w:r>
              <w:rPr>
                <w:rFonts w:ascii="MS PGothic" w:cs="MS PGothic" w:eastAsia="MS PGothic" w:hAnsi="MS PGothic"/>
                <w:sz w:val="18"/>
                <w:szCs w:val="18"/>
                <w:color w:val="auto"/>
              </w:rPr>
              <w:t>：</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0"/>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25"/>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Regions</w:t>
            </w:r>
          </w:p>
        </w:tc>
        <w:tc>
          <w:tcPr>
            <w:tcW w:w="22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Active Mining</w:t>
            </w: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Energized</w:t>
            </w:r>
          </w:p>
        </w:tc>
        <w:tc>
          <w:tcPr>
            <w:tcW w:w="19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Installed</w:t>
            </w:r>
          </w:p>
        </w:tc>
        <w:tc>
          <w:tcPr>
            <w:tcW w:w="19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alphabetical order</w:t>
            </w:r>
          </w:p>
        </w:tc>
        <w:tc>
          <w:tcPr>
            <w:tcW w:w="22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Projects</w:t>
            </w: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Computing</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Computing</w:t>
            </w: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Computing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Computing</w:t>
            </w:r>
          </w:p>
        </w:tc>
      </w:tr>
      <w:tr>
        <w:trPr>
          <w:trHeight w:val="270"/>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 to Z)</w:t>
            </w:r>
          </w:p>
        </w:tc>
        <w:tc>
          <w:tcPr>
            <w:tcW w:w="22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Count</w:t>
            </w:r>
          </w:p>
        </w:tc>
        <w:tc>
          <w:tcPr>
            <w:tcW w:w="1560" w:type="dxa"/>
            <w:vAlign w:val="bottom"/>
            <w:gridSpan w:val="2"/>
          </w:tcPr>
          <w:p>
            <w:pPr>
              <w:jc w:val="center"/>
              <w:ind w:right="440"/>
              <w:spacing w:after="0" w:line="270"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5</w:t>
            </w:r>
          </w:p>
        </w:tc>
        <w:tc>
          <w:tcPr>
            <w:tcW w:w="190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6</w:t>
            </w:r>
          </w:p>
        </w:tc>
        <w:tc>
          <w:tcPr>
            <w:tcW w:w="190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7</w:t>
            </w:r>
          </w:p>
        </w:tc>
        <w:tc>
          <w:tcPr>
            <w:tcW w:w="168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Power</w:t>
            </w:r>
            <w:r>
              <w:rPr>
                <w:rFonts w:ascii="Times New Roman" w:cs="Times New Roman" w:eastAsia="Times New Roman" w:hAnsi="Times New Roman"/>
                <w:sz w:val="29"/>
                <w:szCs w:val="29"/>
                <w:b w:val="1"/>
                <w:bCs w:val="1"/>
                <w:color w:val="auto"/>
                <w:w w:val="95"/>
                <w:vertAlign w:val="superscript"/>
              </w:rPr>
              <w:t>8</w:t>
            </w:r>
          </w:p>
        </w:tc>
      </w:tr>
      <w:tr>
        <w:trPr>
          <w:trHeight w:val="210"/>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11.30 EH/s</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14.75 EH/s</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0.32 EH/s</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15.07 EH/s</w:t>
            </w:r>
          </w:p>
        </w:tc>
      </w:tr>
      <w:tr>
        <w:trPr>
          <w:trHeight w:val="216"/>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America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3.53 EH/s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5.24 EH/s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5.24 EH/s</w:t>
            </w:r>
          </w:p>
        </w:tc>
      </w:tr>
      <w:tr>
        <w:trPr>
          <w:trHeight w:val="216"/>
        </w:trPr>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JV-WindHQ</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4.40 EH/s</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4.40 EH/s</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4.40 EH/s</w:t>
            </w:r>
          </w:p>
        </w:tc>
      </w:tr>
      <w:tr>
        <w:trPr>
          <w:trHeight w:val="257"/>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Canada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0.00 EH/s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 EH/s</w:t>
            </w:r>
          </w:p>
        </w:tc>
        <w:tc>
          <w:tcPr>
            <w:tcW w:w="190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7"/>
              </w:rPr>
              <w:t>0.16 EH/s</w:t>
            </w:r>
            <w:r>
              <w:rPr>
                <w:rFonts w:ascii="Times New Roman" w:cs="Times New Roman" w:eastAsia="Times New Roman" w:hAnsi="Times New Roman"/>
                <w:sz w:val="29"/>
                <w:szCs w:val="29"/>
                <w:color w:val="auto"/>
                <w:w w:val="97"/>
                <w:vertAlign w:val="superscript"/>
              </w:rPr>
              <w:t>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0.16 EH/s</w:t>
            </w:r>
          </w:p>
        </w:tc>
      </w:tr>
      <w:tr>
        <w:trPr>
          <w:trHeight w:val="257"/>
        </w:trPr>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Ethiopia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3.26 EH/s</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4.99 EH/s</w:t>
            </w:r>
          </w:p>
        </w:tc>
        <w:tc>
          <w:tcPr>
            <w:tcW w:w="1900" w:type="dxa"/>
            <w:vAlign w:val="bottom"/>
            <w:gridSpan w:val="2"/>
            <w:shd w:val="clear" w:color="auto" w:fill="CCEEFF"/>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7"/>
              </w:rPr>
              <w:t>0.16 EH/s</w:t>
            </w:r>
            <w:r>
              <w:rPr>
                <w:rFonts w:ascii="Times New Roman" w:cs="Times New Roman" w:eastAsia="Times New Roman" w:hAnsi="Times New Roman"/>
                <w:sz w:val="29"/>
                <w:szCs w:val="29"/>
                <w:color w:val="auto"/>
                <w:w w:val="97"/>
                <w:vertAlign w:val="superscript"/>
              </w:rPr>
              <w:t>9</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 EH/s</w:t>
            </w:r>
          </w:p>
        </w:tc>
      </w:tr>
      <w:tr>
        <w:trPr>
          <w:trHeight w:val="216"/>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Middle East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0.03 EH/s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0.04 EH/s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0.04 EH/s</w:t>
            </w:r>
          </w:p>
        </w:tc>
      </w:tr>
      <w:tr>
        <w:trPr>
          <w:trHeight w:val="216"/>
        </w:trPr>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Malaysia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0.08 EH/s</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0.08 EH/s</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 EH/s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0.08 EH/s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-1866265</wp:posOffset>
            </wp:positionV>
            <wp:extent cx="43180" cy="88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340" w:hanging="332"/>
        <w:spacing w:after="0" w:line="284" w:lineRule="auto"/>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amount of computing power that could theoretically be generated if all mining machines that have been energized were currently in operation, including mining machines that may be temporarily offline.</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sum of Energized Computing Power and computing power that has been installed but not yet energized, if any.</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amount of computing power that has been delivered to the country where each mining project is located, but not yet installed.</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as the sum of Installed Computing Power and Expected Computing Power.</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Equipment is in transit to the project sites.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Announced CEO and CFO’s Increased Shareholdings Through Open Market Purchases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 2026, the Company announced that Chairman and Chief Executive Officer Nangeng Zhang and Chief Financial Officer Jin “James” Cheng purchased an additional 1,456,547 ADSs in the open market at an average price of US$0.51 per ADS, in compliance with the Company’s internal trading policies and applicable securities regulations. The purchases further align management with shareholder interests and reflect their continued confidence in the Company’s long-term strategy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Cipher Mining’s 49% Interest in ABC Projects Totaling ~4.4 EH/s in West Texas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2026, the Company acquired Cipher Mining Inc.’s (NASDAQ: CIFR) 49% equity interest in a joint venture in West Texas, comprising Alborz LLC, Bear LLC, and Chief Mountain LLC (collectively, the "ABC Projects"), and totaling approximately 4.4 EH/s of operational hashrate capacity. The transaction was completed through a non-cash equity issuance at US$0.74 per ADS, with total consideration of approximately US$39.75 million, making Cipher a significant shareholder of the Company. The transaction also includes the purchase of 6,840 Avalon® A15Pro mining machines, which further expands the Company’s self-mining scale and U.S. power infrastructure footprint. The ABC Projects bring significant experience in demand response and energy arbitrage within the ERCOT grid, reinforcing the Company’s strategy to enhance grid stabilization and operational flexibility amid rising data center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Reported Unaudited Fourth Quarter and Full Year 2025 Financial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2026, the Company reported its unaudited financial results for the fourth quarter and full year ended December 31, 2025. Total revenues were US$196.3 million in 4Q25, representing an increase of 121.1% YoY. Bitcoin mining revenues reached US$30.4 million, with deployed hashrate exceeding 10 EH/s and operating hashrate reaching 6.63 EH/s by period end. As of year-end, the Company maintained a solid liquidity position, including cryptocurrency reserves of 1,750 BTC and 3,951 ETH.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Canaan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https://www.canaan.io/.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Canaan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IR@canaan-creative.com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Arnell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canaan@christensencomms.com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Jesse Colzani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canaan@blocksbridge.com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2026-03-10T15:11:45Z</dcterms:created>
  <dcterms:modified xsi:type="dcterms:W3CDTF">2026-03-10T15:11:45Z</dcterms:modified>
</cp:coreProperties>
</file>