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
        <w:spacing w:after="0"/>
        <w:rPr>
          <w:sz w:val="20"/>
          <w:szCs w:val="20"/>
          <w:color w:val="auto"/>
        </w:rPr>
      </w:pPr>
      <w:r>
        <w:rPr>
          <w:rFonts w:ascii="Calibri" w:cs="Calibri" w:eastAsia="Calibri" w:hAnsi="Calibri"/>
          <w:sz w:val="11"/>
          <w:szCs w:val="11"/>
          <w:color w:val="003366"/>
        </w:rPr>
        <w:t>TABLE OF CONTENTS</w:t>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April 15, 2026</w:t>
      </w:r>
    </w:p>
    <w:p>
      <w:pPr>
        <w:spacing w:after="0" w:line="42" w:lineRule="exact"/>
        <w:rPr>
          <w:sz w:val="24"/>
          <w:szCs w:val="24"/>
          <w:color w:val="auto"/>
        </w:rPr>
      </w:pPr>
    </w:p>
    <w:p>
      <w:pPr>
        <w:jc w:val="right"/>
        <w:ind w:right="839"/>
        <w:spacing w:after="0"/>
        <w:rPr>
          <w:sz w:val="20"/>
          <w:szCs w:val="20"/>
          <w:color w:val="auto"/>
        </w:rPr>
      </w:pPr>
      <w:r>
        <w:rPr>
          <w:rFonts w:ascii="Times New Roman" w:cs="Times New Roman" w:eastAsia="Times New Roman" w:hAnsi="Times New Roman"/>
          <w:sz w:val="13"/>
          <w:szCs w:val="13"/>
          <w:b w:val="1"/>
          <w:bCs w:val="1"/>
          <w:color w:val="auto"/>
        </w:rPr>
        <w:t>Registration No. 333-285125​</w:t>
      </w:r>
    </w:p>
    <w:p>
      <w:pPr>
        <w:spacing w:after="0" w:line="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546100</wp:posOffset>
            </wp:positionH>
            <wp:positionV relativeFrom="paragraph">
              <wp:posOffset>1270</wp:posOffset>
            </wp:positionV>
            <wp:extent cx="462851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28515" cy="1270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33655</wp:posOffset>
            </wp:positionV>
            <wp:extent cx="46285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28515" cy="6350"/>
                    </a:xfrm>
                    <a:prstGeom prst="rect">
                      <a:avLst/>
                    </a:prstGeom>
                    <a:noFill/>
                  </pic:spPr>
                </pic:pic>
              </a:graphicData>
            </a:graphic>
          </wp:anchor>
        </w:drawing>
      </w:r>
    </w:p>
    <w:p>
      <w:pPr>
        <w:spacing w:after="0" w:line="1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388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3"/>
          <w:szCs w:val="13"/>
          <w:b w:val="1"/>
          <w:bCs w:val="1"/>
          <w:color w:val="auto"/>
        </w:rPr>
        <w:t>Post-Effective Amendment No. 1</w:t>
      </w:r>
    </w:p>
    <w:p>
      <w:pPr>
        <w:jc w:val="cente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F-3</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jc w:val="center"/>
        <w:ind w:right="39"/>
        <w:spacing w:after="0" w:line="210" w:lineRule="auto"/>
        <w:rPr>
          <w:sz w:val="20"/>
          <w:szCs w:val="20"/>
          <w:color w:val="auto"/>
        </w:rPr>
      </w:pPr>
      <w:r>
        <w:rPr>
          <w:rFonts w:ascii="Times New Roman" w:cs="Times New Roman" w:eastAsia="Times New Roman" w:hAnsi="Times New Roman"/>
          <w:sz w:val="13"/>
          <w:szCs w:val="13"/>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Canaan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(Translation of Registrant’s name into English)</w:t>
      </w:r>
    </w:p>
    <w:p>
      <w:pPr>
        <w:spacing w:after="0" w:line="54" w:lineRule="exact"/>
        <w:rPr>
          <w:sz w:val="24"/>
          <w:szCs w:val="24"/>
          <w:color w:val="auto"/>
        </w:rPr>
      </w:pPr>
    </w:p>
    <w:tbl>
      <w:tblPr>
        <w:tblLayout w:type="fixed"/>
        <w:tblInd w:w="860" w:type="dxa"/>
        <w:tblCellMar>
          <w:top w:w="0" w:type="dxa"/>
          <w:left w:w="0" w:type="dxa"/>
          <w:bottom w:w="0" w:type="dxa"/>
          <w:right w:w="0" w:type="dxa"/>
        </w:tblCellMar>
      </w:tblPr>
      <w:tr>
        <w:trPr>
          <w:trHeight w:val="166"/>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2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Cayman Islands</w:t>
            </w:r>
          </w:p>
        </w:tc>
        <w:tc>
          <w:tcPr>
            <w:tcW w:w="184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 ​</w:t>
            </w:r>
          </w:p>
        </w:tc>
        <w:tc>
          <w:tcPr>
            <w:tcW w:w="20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Not Applicable</w:t>
            </w:r>
          </w:p>
        </w:tc>
        <w:tc>
          <w:tcPr>
            <w:tcW w:w="660" w:type="dxa"/>
            <w:vAlign w:val="bottom"/>
          </w:tcPr>
          <w:p>
            <w:pPr>
              <w:ind w:left="6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9"/>
        </w:trPr>
        <w:tc>
          <w:tcPr>
            <w:tcW w:w="560" w:type="dxa"/>
            <w:vAlign w:val="bottom"/>
          </w:tcPr>
          <w:p>
            <w:pPr>
              <w:spacing w:after="0"/>
              <w:rPr>
                <w:sz w:val="11"/>
                <w:szCs w:val="11"/>
                <w:color w:val="auto"/>
              </w:rPr>
            </w:pPr>
          </w:p>
        </w:tc>
        <w:tc>
          <w:tcPr>
            <w:tcW w:w="22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1840" w:type="dxa"/>
            <w:vAlign w:val="bottom"/>
          </w:tcPr>
          <w:p>
            <w:pPr>
              <w:spacing w:after="0"/>
              <w:rPr>
                <w:sz w:val="11"/>
                <w:szCs w:val="11"/>
                <w:color w:val="auto"/>
              </w:rPr>
            </w:pPr>
          </w:p>
        </w:tc>
        <w:tc>
          <w:tcPr>
            <w:tcW w:w="20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(I.R.S. Employer</w:t>
            </w:r>
          </w:p>
        </w:tc>
        <w:tc>
          <w:tcPr>
            <w:tcW w:w="660" w:type="dxa"/>
            <w:vAlign w:val="bottom"/>
          </w:tcPr>
          <w:p>
            <w:pPr>
              <w:spacing w:after="0"/>
              <w:rPr>
                <w:sz w:val="11"/>
                <w:szCs w:val="11"/>
                <w:color w:val="auto"/>
              </w:rPr>
            </w:pPr>
          </w:p>
        </w:tc>
      </w:tr>
      <w:tr>
        <w:trPr>
          <w:trHeight w:val="164"/>
        </w:trPr>
        <w:tc>
          <w:tcPr>
            <w:tcW w:w="560" w:type="dxa"/>
            <w:vAlign w:val="bottom"/>
          </w:tcPr>
          <w:p>
            <w:pPr>
              <w:spacing w:after="0"/>
              <w:rPr>
                <w:sz w:val="14"/>
                <w:szCs w:val="14"/>
                <w:color w:val="auto"/>
              </w:rPr>
            </w:pPr>
          </w:p>
        </w:tc>
        <w:tc>
          <w:tcPr>
            <w:tcW w:w="22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1840" w:type="dxa"/>
            <w:vAlign w:val="bottom"/>
          </w:tcPr>
          <w:p>
            <w:pPr>
              <w:spacing w:after="0"/>
              <w:rPr>
                <w:sz w:val="14"/>
                <w:szCs w:val="14"/>
                <w:color w:val="auto"/>
              </w:rPr>
            </w:pPr>
          </w:p>
        </w:tc>
        <w:tc>
          <w:tcPr>
            <w:tcW w:w="20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Identification Number)</w:t>
            </w:r>
          </w:p>
        </w:tc>
        <w:tc>
          <w:tcPr>
            <w:tcW w:w="660" w:type="dxa"/>
            <w:vAlign w:val="bottom"/>
          </w:tcPr>
          <w:p>
            <w:pPr>
              <w:spacing w:after="0"/>
              <w:rPr>
                <w:sz w:val="14"/>
                <w:szCs w:val="14"/>
                <w:color w:val="auto"/>
              </w:rPr>
            </w:pPr>
          </w:p>
        </w:tc>
      </w:tr>
      <w:tr>
        <w:trPr>
          <w:trHeight w:val="178"/>
        </w:trPr>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1"/>
              </w:rPr>
              <w:t>28 Ayer Rajah Crescent</w:t>
            </w:r>
          </w:p>
        </w:tc>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41"/>
        </w:trPr>
        <w:tc>
          <w:tcPr>
            <w:tcW w:w="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b w:val="1"/>
                <w:bCs w:val="1"/>
                <w:color w:val="auto"/>
                <w:w w:val="92"/>
              </w:rPr>
              <w:t>#06-08</w:t>
            </w:r>
          </w:p>
        </w:tc>
        <w:tc>
          <w:tcPr>
            <w:tcW w:w="20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3"/>
        </w:trPr>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Singapore 139959</w:t>
            </w:r>
          </w:p>
        </w:tc>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1"/>
          <w:szCs w:val="11"/>
          <w:color w:val="auto"/>
        </w:rPr>
        <w:t>(Address and telephone number of Registrant’s principal executive offices)</w:t>
      </w:r>
    </w:p>
    <w:p>
      <w:pPr>
        <w:spacing w:after="0" w:line="1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Cogency Global Inc.</w:t>
      </w:r>
    </w:p>
    <w:p>
      <w:pPr>
        <w:ind w:left="3660"/>
        <w:spacing w:after="0" w:line="223" w:lineRule="auto"/>
        <w:rPr>
          <w:sz w:val="20"/>
          <w:szCs w:val="20"/>
          <w:color w:val="auto"/>
        </w:rPr>
      </w:pPr>
      <w:r>
        <w:rPr>
          <w:rFonts w:ascii="Times New Roman" w:cs="Times New Roman" w:eastAsia="Times New Roman" w:hAnsi="Times New Roman"/>
          <w:sz w:val="13"/>
          <w:szCs w:val="13"/>
          <w:b w:val="1"/>
          <w:bCs w:val="1"/>
          <w:color w:val="auto"/>
        </w:rPr>
        <w:t>122 East 42nd Street, 18th Floor</w:t>
      </w:r>
    </w:p>
    <w:p>
      <w:pPr>
        <w:ind w:left="3780"/>
        <w:spacing w:after="0" w:line="211" w:lineRule="auto"/>
        <w:rPr>
          <w:sz w:val="20"/>
          <w:szCs w:val="20"/>
          <w:color w:val="auto"/>
        </w:rPr>
      </w:pPr>
      <w:r>
        <w:rPr>
          <w:rFonts w:ascii="Times New Roman" w:cs="Times New Roman" w:eastAsia="Times New Roman" w:hAnsi="Times New Roman"/>
          <w:sz w:val="13"/>
          <w:szCs w:val="13"/>
          <w:b w:val="1"/>
          <w:bCs w:val="1"/>
          <w:color w:val="auto"/>
        </w:rPr>
        <w:t>New York, New York 10168</w:t>
      </w:r>
    </w:p>
    <w:p>
      <w:pPr>
        <w:ind w:left="4080"/>
        <w:spacing w:after="0"/>
        <w:rPr>
          <w:sz w:val="20"/>
          <w:szCs w:val="20"/>
          <w:color w:val="auto"/>
        </w:rPr>
      </w:pPr>
      <w:r>
        <w:rPr>
          <w:rFonts w:ascii="Times New Roman" w:cs="Times New Roman" w:eastAsia="Times New Roman" w:hAnsi="Times New Roman"/>
          <w:sz w:val="13"/>
          <w:szCs w:val="13"/>
          <w:b w:val="1"/>
          <w:bCs w:val="1"/>
          <w:color w:val="auto"/>
        </w:rPr>
        <w:t>+1-212-947-7200</w:t>
      </w:r>
    </w:p>
    <w:p>
      <w:pPr>
        <w:jc w:val="center"/>
        <w:ind w:right="19"/>
        <w:spacing w:after="0"/>
        <w:rPr>
          <w:sz w:val="20"/>
          <w:szCs w:val="20"/>
          <w:color w:val="auto"/>
        </w:rPr>
      </w:pPr>
      <w:r>
        <w:rPr>
          <w:rFonts w:ascii="Times New Roman" w:cs="Times New Roman" w:eastAsia="Times New Roman" w:hAnsi="Times New Roman"/>
          <w:sz w:val="11"/>
          <w:szCs w:val="11"/>
          <w:color w:val="auto"/>
        </w:rPr>
        <w:t>(Name, address, and telephone number of agent for service)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2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Will H. Cai, Esq.</w:t>
      </w:r>
    </w:p>
    <w:p>
      <w:pPr>
        <w:ind w:left="4180"/>
        <w:spacing w:after="0" w:line="223" w:lineRule="auto"/>
        <w:rPr>
          <w:sz w:val="20"/>
          <w:szCs w:val="20"/>
          <w:color w:val="auto"/>
        </w:rPr>
      </w:pPr>
      <w:r>
        <w:rPr>
          <w:rFonts w:ascii="Times New Roman" w:cs="Times New Roman" w:eastAsia="Times New Roman" w:hAnsi="Times New Roman"/>
          <w:sz w:val="13"/>
          <w:szCs w:val="13"/>
          <w:b w:val="1"/>
          <w:bCs w:val="1"/>
          <w:color w:val="auto"/>
        </w:rPr>
        <w:t>Cooley LLP</w:t>
      </w:r>
    </w:p>
    <w:p>
      <w:pPr>
        <w:jc w:val="center"/>
        <w:ind w:right="39"/>
        <w:spacing w:after="0" w:line="211" w:lineRule="auto"/>
        <w:rPr>
          <w:sz w:val="20"/>
          <w:szCs w:val="20"/>
          <w:color w:val="auto"/>
        </w:rPr>
      </w:pPr>
      <w:r>
        <w:rPr>
          <w:rFonts w:ascii="Times New Roman" w:cs="Times New Roman" w:eastAsia="Times New Roman" w:hAnsi="Times New Roman"/>
          <w:sz w:val="13"/>
          <w:szCs w:val="13"/>
          <w:b w:val="1"/>
          <w:bCs w:val="1"/>
          <w:color w:val="auto"/>
        </w:rPr>
        <w:t>c/o 35/F Two Exchange Square</w:t>
      </w:r>
    </w:p>
    <w:p>
      <w:pPr>
        <w:jc w:val="center"/>
        <w:ind w:right="39"/>
        <w:spacing w:after="0" w:line="226" w:lineRule="auto"/>
        <w:rPr>
          <w:sz w:val="20"/>
          <w:szCs w:val="20"/>
          <w:color w:val="auto"/>
        </w:rPr>
      </w:pPr>
      <w:r>
        <w:rPr>
          <w:rFonts w:ascii="Times New Roman" w:cs="Times New Roman" w:eastAsia="Times New Roman" w:hAnsi="Times New Roman"/>
          <w:sz w:val="13"/>
          <w:szCs w:val="13"/>
          <w:b w:val="1"/>
          <w:bCs w:val="1"/>
          <w:color w:val="auto"/>
        </w:rPr>
        <w:t>8 Connaught Place</w:t>
      </w:r>
    </w:p>
    <w:p>
      <w:pPr>
        <w:ind w:left="3960"/>
        <w:spacing w:after="0" w:line="211" w:lineRule="auto"/>
        <w:rPr>
          <w:sz w:val="20"/>
          <w:szCs w:val="20"/>
          <w:color w:val="auto"/>
        </w:rPr>
      </w:pPr>
      <w:r>
        <w:rPr>
          <w:rFonts w:ascii="Times New Roman" w:cs="Times New Roman" w:eastAsia="Times New Roman" w:hAnsi="Times New Roman"/>
          <w:sz w:val="13"/>
          <w:szCs w:val="13"/>
          <w:b w:val="1"/>
          <w:bCs w:val="1"/>
          <w:color w:val="auto"/>
        </w:rPr>
        <w:t>Central, Hong Kong</w:t>
      </w:r>
    </w:p>
    <w:p>
      <w:pPr>
        <w:ind w:left="4100"/>
        <w:spacing w:after="0"/>
        <w:rPr>
          <w:sz w:val="20"/>
          <w:szCs w:val="20"/>
          <w:color w:val="auto"/>
        </w:rPr>
      </w:pPr>
      <w:r>
        <w:rPr>
          <w:rFonts w:ascii="Times New Roman" w:cs="Times New Roman" w:eastAsia="Times New Roman" w:hAnsi="Times New Roman"/>
          <w:sz w:val="13"/>
          <w:szCs w:val="13"/>
          <w:b w:val="1"/>
          <w:bCs w:val="1"/>
          <w:color w:val="auto"/>
        </w:rPr>
        <w:t>+852 3758-1200</w:t>
      </w:r>
    </w:p>
    <w:p>
      <w:pPr>
        <w:spacing w:after="0" w:line="6"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p>
    <w:p>
      <w:pPr>
        <w:spacing w:after="0" w:line="8"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From time to time after the effective date of this registration statement.</w:t>
      </w:r>
    </w:p>
    <w:p>
      <w:pPr>
        <w:spacing w:after="0" w:line="28" w:lineRule="exact"/>
        <w:rPr>
          <w:sz w:val="24"/>
          <w:szCs w:val="24"/>
          <w:color w:val="auto"/>
        </w:rPr>
      </w:pPr>
    </w:p>
    <w:p>
      <w:pPr>
        <w:jc w:val="both"/>
        <w:ind w:left="860" w:right="879" w:firstLine="269"/>
        <w:spacing w:after="0" w:line="162" w:lineRule="exact"/>
        <w:rPr>
          <w:sz w:val="20"/>
          <w:szCs w:val="20"/>
          <w:color w:val="auto"/>
        </w:rPr>
      </w:pPr>
      <w:r>
        <w:rPr>
          <w:rFonts w:ascii="Times New Roman" w:cs="Times New Roman" w:eastAsia="Times New Roman" w:hAnsi="Times New Roman"/>
          <w:sz w:val="13"/>
          <w:szCs w:val="13"/>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21" w:lineRule="exact"/>
        <w:rPr>
          <w:sz w:val="24"/>
          <w:szCs w:val="24"/>
          <w:color w:val="auto"/>
        </w:rPr>
      </w:pPr>
    </w:p>
    <w:p>
      <w:pPr>
        <w:jc w:val="both"/>
        <w:ind w:left="860" w:right="879" w:firstLine="269"/>
        <w:spacing w:after="0" w:line="162"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 w:lineRule="exact"/>
        <w:rPr>
          <w:sz w:val="24"/>
          <w:szCs w:val="24"/>
          <w:color w:val="auto"/>
        </w:rPr>
      </w:pPr>
    </w:p>
    <w:p>
      <w:pPr>
        <w:jc w:val="both"/>
        <w:ind w:left="860" w:right="879" w:firstLine="269"/>
        <w:spacing w:after="0" w:line="155"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1" w:lineRule="exact"/>
        <w:rPr>
          <w:sz w:val="24"/>
          <w:szCs w:val="24"/>
          <w:color w:val="auto"/>
        </w:rPr>
      </w:pPr>
    </w:p>
    <w:p>
      <w:pPr>
        <w:jc w:val="both"/>
        <w:ind w:left="860" w:right="879" w:firstLine="269"/>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1" w:lineRule="exact"/>
        <w:rPr>
          <w:sz w:val="24"/>
          <w:szCs w:val="24"/>
          <w:color w:val="auto"/>
        </w:rPr>
      </w:pPr>
    </w:p>
    <w:p>
      <w:pPr>
        <w:jc w:val="both"/>
        <w:ind w:left="860" w:right="879" w:firstLine="269"/>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1" w:lineRule="exact"/>
        <w:rPr>
          <w:sz w:val="24"/>
          <w:szCs w:val="24"/>
          <w:color w:val="auto"/>
        </w:rPr>
      </w:pPr>
    </w:p>
    <w:p>
      <w:pPr>
        <w:jc w:val="both"/>
        <w:ind w:left="860" w:right="879" w:firstLine="269"/>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1" w:lineRule="exact"/>
        <w:rPr>
          <w:sz w:val="24"/>
          <w:szCs w:val="24"/>
          <w:color w:val="auto"/>
        </w:rPr>
      </w:pPr>
    </w:p>
    <w:p>
      <w:pPr>
        <w:ind w:left="6540" w:right="839" w:hanging="5413"/>
        <w:spacing w:after="0" w:line="19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w:t>
      </w:r>
    </w:p>
    <w:p>
      <w:pPr>
        <w:spacing w:after="0" w:line="11" w:lineRule="exact"/>
        <w:rPr>
          <w:sz w:val="24"/>
          <w:szCs w:val="24"/>
          <w:color w:val="auto"/>
        </w:rPr>
      </w:pPr>
    </w:p>
    <w:p>
      <w:pPr>
        <w:jc w:val="both"/>
        <w:ind w:left="860" w:right="879" w:firstLine="269"/>
        <w:spacing w:after="0" w:line="155"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546100</wp:posOffset>
            </wp:positionH>
            <wp:positionV relativeFrom="paragraph">
              <wp:posOffset>60960</wp:posOffset>
            </wp:positionV>
            <wp:extent cx="9232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150" w:lineRule="exact"/>
        <w:rPr>
          <w:sz w:val="24"/>
          <w:szCs w:val="24"/>
          <w:color w:val="auto"/>
        </w:rPr>
      </w:pPr>
    </w:p>
    <w:p>
      <w:pPr>
        <w:ind w:left="1140" w:right="879" w:hanging="279"/>
        <w:spacing w:after="0" w:line="255" w:lineRule="auto"/>
        <w:tabs>
          <w:tab w:leader="none" w:pos="11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546100</wp:posOffset>
            </wp:positionH>
            <wp:positionV relativeFrom="paragraph">
              <wp:posOffset>57785</wp:posOffset>
            </wp:positionV>
            <wp:extent cx="46285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8515" cy="6350"/>
                    </a:xfrm>
                    <a:prstGeom prst="rect">
                      <a:avLst/>
                    </a:prstGeom>
                    <a:noFill/>
                  </pic:spPr>
                </pic:pic>
              </a:graphicData>
            </a:graphic>
          </wp:anchor>
        </w:drawing>
      </w:r>
    </w:p>
    <w:p>
      <w:pPr>
        <w:spacing w:after="0" w:line="8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546100</wp:posOffset>
            </wp:positionH>
            <wp:positionV relativeFrom="paragraph">
              <wp:posOffset>1270</wp:posOffset>
            </wp:positionV>
            <wp:extent cx="462851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28515" cy="1270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187325</wp:posOffset>
            </wp:positionV>
            <wp:extent cx="511556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83" w:right="1440" w:bottom="1440" w:gutter="0" w:footer="0" w:header="0"/>
        </w:sectPr>
      </w:pPr>
    </w:p>
    <w:bookmarkStart w:id="1" w:name="page2"/>
    <w:bookmarkEnd w:id="1"/>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27" w:lineRule="exact"/>
        <w:rPr>
          <w:sz w:val="20"/>
          <w:szCs w:val="20"/>
          <w:color w:val="auto"/>
        </w:rPr>
      </w:pPr>
    </w:p>
    <w:p>
      <w:pPr>
        <w:jc w:val="both"/>
        <w:ind w:left="1440" w:right="1439" w:firstLine="269"/>
        <w:spacing w:after="0" w:line="267" w:lineRule="auto"/>
        <w:rPr>
          <w:sz w:val="20"/>
          <w:szCs w:val="20"/>
          <w:color w:val="auto"/>
        </w:rPr>
      </w:pPr>
      <w:r>
        <w:rPr>
          <w:rFonts w:ascii="Times New Roman" w:cs="Times New Roman" w:eastAsia="Times New Roman" w:hAnsi="Times New Roman"/>
          <w:sz w:val="13"/>
          <w:szCs w:val="13"/>
          <w:color w:val="auto"/>
        </w:rPr>
        <w:t>This Post-Effective Amendment No. 1 to the Registration Statement on Form F-3 (Commission File No. 333-285125), or the Registration Statement, of Canaan Inc., or the Registrant, is being filed because the Registrant expects that it will cease to be a well-known seasoned issuer (as such term is defined in Rule 405 of the Securities Act of 1933, as amended) upon filing its Annual Report on Form 20-F for the fiscal year ended December 31, 2025. This Post-Effective Amendment No. 1 includes disclosure required for a registrant other than a well-known seasoned issuer and makes certain other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5285105</wp:posOffset>
            </wp:positionV>
            <wp:extent cx="511556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 w:name="page3"/>
    <w:bookmarkEnd w:id="2"/>
    <w:p>
      <w:pPr>
        <w:ind w:left="500"/>
        <w:spacing w:after="0"/>
        <w:rPr>
          <w:sz w:val="20"/>
          <w:szCs w:val="20"/>
          <w:color w:val="auto"/>
        </w:rPr>
      </w:pPr>
      <w:r>
        <w:rPr>
          <w:rFonts w:ascii="Calibri" w:cs="Calibri" w:eastAsia="Calibri" w:hAnsi="Calibri"/>
          <w:sz w:val="11"/>
          <w:szCs w:val="11"/>
          <w:color w:val="003366"/>
        </w:rPr>
        <w:t>TABLE OF CONTENTS</w:t>
      </w:r>
    </w:p>
    <w:p>
      <w:pPr>
        <w:spacing w:after="0" w:line="3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62865</wp:posOffset>
            </wp:positionV>
            <wp:extent cx="1435735" cy="474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5735"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$270,000,000</w:t>
      </w:r>
    </w:p>
    <w:p>
      <w:pPr>
        <w:spacing w:after="0" w:line="1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Class A Ordinary Shares</w:t>
      </w:r>
    </w:p>
    <w:p>
      <w:pPr>
        <w:ind w:left="3920"/>
        <w:spacing w:after="0" w:line="237" w:lineRule="auto"/>
        <w:rPr>
          <w:sz w:val="20"/>
          <w:szCs w:val="20"/>
          <w:color w:val="auto"/>
        </w:rPr>
      </w:pPr>
      <w:r>
        <w:rPr>
          <w:rFonts w:ascii="Times New Roman" w:cs="Times New Roman" w:eastAsia="Times New Roman" w:hAnsi="Times New Roman"/>
          <w:sz w:val="16"/>
          <w:szCs w:val="16"/>
          <w:b w:val="1"/>
          <w:bCs w:val="1"/>
          <w:color w:val="auto"/>
        </w:rPr>
        <w:t>Preferred Shares</w:t>
      </w:r>
    </w:p>
    <w:p>
      <w:pPr>
        <w:ind w:left="4160"/>
        <w:spacing w:after="0" w:line="237" w:lineRule="auto"/>
        <w:rPr>
          <w:sz w:val="20"/>
          <w:szCs w:val="20"/>
          <w:color w:val="auto"/>
        </w:rPr>
      </w:pPr>
      <w:r>
        <w:rPr>
          <w:rFonts w:ascii="Times New Roman" w:cs="Times New Roman" w:eastAsia="Times New Roman" w:hAnsi="Times New Roman"/>
          <w:sz w:val="16"/>
          <w:szCs w:val="16"/>
          <w:b w:val="1"/>
          <w:bCs w:val="1"/>
          <w:color w:val="auto"/>
        </w:rPr>
        <w:t>Warrants</w:t>
      </w:r>
    </w:p>
    <w:p>
      <w:pPr>
        <w:ind w:left="3980"/>
        <w:spacing w:after="0" w:line="237" w:lineRule="auto"/>
        <w:rPr>
          <w:sz w:val="20"/>
          <w:szCs w:val="20"/>
          <w:color w:val="auto"/>
        </w:rPr>
      </w:pPr>
      <w:r>
        <w:rPr>
          <w:rFonts w:ascii="Times New Roman" w:cs="Times New Roman" w:eastAsia="Times New Roman" w:hAnsi="Times New Roman"/>
          <w:sz w:val="16"/>
          <w:szCs w:val="16"/>
          <w:b w:val="1"/>
          <w:bCs w:val="1"/>
          <w:color w:val="auto"/>
        </w:rPr>
        <w:t>Debt Securities</w:t>
      </w:r>
    </w:p>
    <w:p>
      <w:pPr>
        <w:ind w:left="3660"/>
        <w:spacing w:after="0"/>
        <w:rPr>
          <w:sz w:val="20"/>
          <w:szCs w:val="20"/>
          <w:color w:val="auto"/>
        </w:rPr>
      </w:pPr>
      <w:r>
        <w:rPr>
          <w:rFonts w:ascii="Times New Roman" w:cs="Times New Roman" w:eastAsia="Times New Roman" w:hAnsi="Times New Roman"/>
          <w:sz w:val="16"/>
          <w:szCs w:val="16"/>
          <w:b w:val="1"/>
          <w:bCs w:val="1"/>
          <w:color w:val="auto"/>
        </w:rPr>
        <w:t>Subscription Rights Units</w:t>
      </w:r>
    </w:p>
    <w:p>
      <w:pPr>
        <w:spacing w:after="0" w:line="38" w:lineRule="exact"/>
        <w:rPr>
          <w:sz w:val="20"/>
          <w:szCs w:val="20"/>
          <w:color w:val="auto"/>
        </w:rPr>
      </w:pPr>
    </w:p>
    <w:p>
      <w:pPr>
        <w:jc w:val="both"/>
        <w:ind w:left="860" w:right="879" w:firstLine="269"/>
        <w:spacing w:after="0" w:line="253" w:lineRule="auto"/>
        <w:rPr>
          <w:sz w:val="20"/>
          <w:szCs w:val="20"/>
          <w:color w:val="auto"/>
        </w:rPr>
      </w:pPr>
      <w:r>
        <w:rPr>
          <w:rFonts w:ascii="Times New Roman" w:cs="Times New Roman" w:eastAsia="Times New Roman" w:hAnsi="Times New Roman"/>
          <w:sz w:val="11"/>
          <w:szCs w:val="11"/>
          <w:color w:val="auto"/>
        </w:rPr>
        <w:t>We may from time to time in one or more offerings offer and sell our preferred shares, warrants, subscription rights and/or units, debt securities, or Class A ordinary shares, including Class A ordinary shares represented by American depositary shares, or ADSs, with each ADS representing 15 Class A ordinary shares.</w:t>
      </w:r>
    </w:p>
    <w:p>
      <w:pPr>
        <w:spacing w:after="0" w:line="137" w:lineRule="exact"/>
        <w:rPr>
          <w:sz w:val="20"/>
          <w:szCs w:val="20"/>
          <w:color w:val="auto"/>
        </w:rPr>
      </w:pPr>
    </w:p>
    <w:p>
      <w:pPr>
        <w:jc w:val="both"/>
        <w:ind w:left="860" w:right="879" w:firstLine="269"/>
        <w:spacing w:after="0" w:line="243" w:lineRule="auto"/>
        <w:rPr>
          <w:sz w:val="20"/>
          <w:szCs w:val="20"/>
          <w:color w:val="auto"/>
        </w:rPr>
      </w:pPr>
      <w:r>
        <w:rPr>
          <w:rFonts w:ascii="Times New Roman" w:cs="Times New Roman" w:eastAsia="Times New Roman" w:hAnsi="Times New Roman"/>
          <w:sz w:val="11"/>
          <w:szCs w:val="11"/>
          <w:color w:val="auto"/>
        </w:rPr>
        <w:t>We will provide specific terms of any offered securities and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51" w:lineRule="exact"/>
        <w:rPr>
          <w:sz w:val="20"/>
          <w:szCs w:val="20"/>
          <w:color w:val="auto"/>
        </w:rPr>
      </w:pPr>
    </w:p>
    <w:p>
      <w:pPr>
        <w:jc w:val="both"/>
        <w:ind w:left="860" w:right="879" w:firstLine="269"/>
        <w:spacing w:after="0" w:line="243" w:lineRule="auto"/>
        <w:rPr>
          <w:sz w:val="20"/>
          <w:szCs w:val="20"/>
          <w:color w:val="auto"/>
        </w:rPr>
      </w:pPr>
      <w:r>
        <w:rPr>
          <w:rFonts w:ascii="Times New Roman" w:cs="Times New Roman" w:eastAsia="Times New Roman" w:hAnsi="Times New Roman"/>
          <w:sz w:val="11"/>
          <w:szCs w:val="11"/>
          <w:color w:val="auto"/>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w:t>
      </w:r>
      <w:r>
        <w:rPr>
          <w:rFonts w:ascii="Times New Roman" w:cs="Times New Roman" w:eastAsia="Times New Roman" w:hAnsi="Times New Roman"/>
          <w:sz w:val="11"/>
          <w:szCs w:val="11"/>
          <w:u w:val="single" w:color="auto"/>
          <w:color w:val="0000EE"/>
        </w:rPr>
        <w:t>37</w:t>
      </w:r>
      <w:r>
        <w:rPr>
          <w:rFonts w:ascii="Times New Roman" w:cs="Times New Roman" w:eastAsia="Times New Roman" w:hAnsi="Times New Roman"/>
          <w:sz w:val="11"/>
          <w:szCs w:val="11"/>
          <w:color w:val="auto"/>
        </w:rPr>
        <w:t xml:space="preserve"> of this prospectus.</w:t>
      </w:r>
    </w:p>
    <w:p>
      <w:pPr>
        <w:spacing w:after="0" w:line="23" w:lineRule="exact"/>
        <w:rPr>
          <w:sz w:val="20"/>
          <w:szCs w:val="20"/>
          <w:color w:val="auto"/>
        </w:rPr>
      </w:pPr>
    </w:p>
    <w:p>
      <w:pPr>
        <w:jc w:val="both"/>
        <w:ind w:left="860" w:right="879" w:firstLine="269"/>
        <w:spacing w:after="0" w:line="268" w:lineRule="auto"/>
        <w:rPr>
          <w:sz w:val="20"/>
          <w:szCs w:val="20"/>
          <w:color w:val="auto"/>
        </w:rPr>
      </w:pPr>
      <w:r>
        <w:rPr>
          <w:rFonts w:ascii="Times New Roman" w:cs="Times New Roman" w:eastAsia="Times New Roman" w:hAnsi="Times New Roman"/>
          <w:sz w:val="11"/>
          <w:szCs w:val="11"/>
          <w:color w:val="auto"/>
        </w:rPr>
        <w:t>The ADSs are listed on the NASDAQ Global Market under the symbol “CAN.” On April 14, 2026, the last reported sale price of the ADSs on the NASDAQ Global Market was US$0.51 per ADS.</w:t>
      </w:r>
    </w:p>
    <w:p>
      <w:pPr>
        <w:jc w:val="both"/>
        <w:ind w:left="860" w:right="879" w:firstLine="269"/>
        <w:spacing w:after="0"/>
        <w:rPr>
          <w:sz w:val="20"/>
          <w:szCs w:val="20"/>
          <w:color w:val="auto"/>
        </w:rPr>
      </w:pPr>
      <w:r>
        <w:rPr>
          <w:rFonts w:ascii="Times New Roman" w:cs="Times New Roman" w:eastAsia="Times New Roman" w:hAnsi="Times New Roman"/>
          <w:sz w:val="11"/>
          <w:szCs w:val="11"/>
          <w:color w:val="auto"/>
        </w:rPr>
        <w:t>As of the date of this prospectus, our issued and outstanding share capital consists of Class A ordinary shares and Class B ordinary shares. Holders of Class A ordinary shares and Class B ordinary shares have the same rights except for voting and conversion rights. In respect of matters requiring a shareholder vote, each Class A ordinary share will be entitled to one vote and each Class B ordinary share will be entitled to 15 votes. Each Class B ordinary share is convertible into one class A ordinary share at any time by the holder thereof. Class A ordinary shares are not convertible into Class B ordinary shares under any circumstances. For more information, please see “Description of Share Capital.”</w:t>
      </w:r>
    </w:p>
    <w:p>
      <w:pPr>
        <w:spacing w:after="0" w:line="24" w:lineRule="exact"/>
        <w:rPr>
          <w:sz w:val="20"/>
          <w:szCs w:val="20"/>
          <w:color w:val="auto"/>
        </w:rPr>
      </w:pPr>
    </w:p>
    <w:p>
      <w:pPr>
        <w:jc w:val="both"/>
        <w:ind w:left="860" w:right="879" w:firstLine="269"/>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We are a Cayman Islands holding company and conduct all of our operations through our operating subsidiaries. Investors in the ADSs are not purchasing equity securities of our operating subsidiaries but instead are purchasing equity securities of a Cayman Islands holding company. We face various legal and operational risks and uncertainties associated with being based in or having a portion of our operations in China and the complex and evolving PRC laws and regulations. For example, we face risks associated with regulatory approvals on offerings conducted overseas and foreign investment in China-based issuers, anti-monopoly regulatory actions, regulatory actions for virtual currency-related business activities and mining activities and oversight on cybersecurity and data privacy, which may negatively impact our ability to conduct certain businesses, access foreign investments, or list on foreign stock exchange.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relating to doing business in China, see “Item 3. Key Information — 3.D. Risk Factors — Risks Relating to Doing Business in the PRC.” in </w:t>
      </w:r>
      <w:hyperlink r:id="rId16">
        <w:r>
          <w:rPr>
            <w:rFonts w:ascii="Times New Roman" w:cs="Times New Roman" w:eastAsia="Times New Roman" w:hAnsi="Times New Roman"/>
            <w:sz w:val="11"/>
            <w:szCs w:val="11"/>
            <w:u w:val="single" w:color="auto"/>
            <w:color w:val="0000EE"/>
          </w:rPr>
          <w:t>our annual report on Form 20-F for the year ended December 31, 2024</w:t>
        </w:r>
      </w:hyperlink>
      <w:r>
        <w:rPr>
          <w:rFonts w:ascii="Times New Roman" w:cs="Times New Roman" w:eastAsia="Times New Roman" w:hAnsi="Times New Roman"/>
          <w:sz w:val="11"/>
          <w:szCs w:val="11"/>
          <w:color w:val="auto"/>
        </w:rPr>
        <w:t>, which is incorporated by reference in this prospectus.</w:t>
      </w:r>
    </w:p>
    <w:p>
      <w:pPr>
        <w:spacing w:after="0" w:line="118" w:lineRule="exact"/>
        <w:rPr>
          <w:sz w:val="20"/>
          <w:szCs w:val="20"/>
          <w:color w:val="auto"/>
        </w:rPr>
      </w:pPr>
    </w:p>
    <w:p>
      <w:pPr>
        <w:jc w:val="both"/>
        <w:ind w:left="860" w:right="879" w:firstLine="269"/>
        <w:spacing w:after="0"/>
        <w:rPr>
          <w:rFonts w:ascii="Times New Roman" w:cs="Times New Roman" w:eastAsia="Times New Roman" w:hAnsi="Times New Roman"/>
          <w:sz w:val="11"/>
          <w:szCs w:val="11"/>
          <w:color w:val="0000EE"/>
        </w:rPr>
      </w:pPr>
      <w:r>
        <w:rPr>
          <w:rFonts w:ascii="Times New Roman" w:cs="Times New Roman" w:eastAsia="Times New Roman" w:hAnsi="Times New Roman"/>
          <w:sz w:val="11"/>
          <w:szCs w:val="11"/>
          <w:color w:val="auto"/>
        </w:rPr>
        <w:t xml:space="preserve">Our auditor, KPMG Huazhen LLP, is the independent registered public accounting firm that issues the audit report incorporated by reference elsewhere in this prospectus, and is located in mainland China. Our securities will be prohibited from trading on a national securities exchange or in the over-the-counter trading market in the United States under the Holding Foreign Companies Accountable Act, or the HFCAA, if the Securities and Exchange Commission determines that Canaan has filed audit reports issued by a registered public accounting firm that has not been subject to inspections by the PCAOB for two consecutive years. On December 16, 2021, the PCAOB issued a report to notify the SEC of its determination that the PCAOB was unable to inspect or investigate completely registered public accounting firms headquartered in mainland China and Hong Kong and our auditor was subject to this determination. Consequently, we were conclusively identified as a “Commission-Identified Issuer” on May 4, 2022. On December 15, 2022, the PCAOB announced that it was able to secure complete access to inspect and investigate PCAOB -registered public accounting firms headquartered in mainland China and Hong Kong in 2022.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its financial statements filed with the SEC, we would be identified as a Commission-Identified Issuer following the filing of the annual report on Form 20 -F for the relevant fiscal year. In accordance with the HFCAA, our securities would be prohibited from being traded on a national securities exchange or in the over-the-counter trading market in the United States if it is identified as a Commission-Identified Issuer for two consecutive years in the future. If our securities are prohibited from trading in the United States, there is no certainty that we will be able to list on a non -U.S. exchange or that a market for our securities will develop outside of the United States. In the event of such prohibition, the Nasdaq may determine to delist our securities. The delisting of our securities, or the threat of their being delisted, may materially and adversely affect the value of your investment. See “Item 3. Key Information — 3.D. Risk Factors — Risks Relating to Doing Business in the PRC — Our ADSs may be delisted under the Holding Foreign Companies Accountable Act if the PCAOB is unable to inspect auditors who are located in China. The </w:t>
      </w:r>
      <w:hyperlink r:id="rId16">
        <w:r>
          <w:rPr>
            <w:rFonts w:ascii="Times New Roman" w:cs="Times New Roman" w:eastAsia="Times New Roman" w:hAnsi="Times New Roman"/>
            <w:sz w:val="11"/>
            <w:szCs w:val="11"/>
            <w:color w:val="auto"/>
          </w:rPr>
          <w:t xml:space="preserve">delisting of our ADSs, or the threat of their being delisted, may materially and adversely affect the value of your investment.” in </w:t>
        </w:r>
        <w:r>
          <w:rPr>
            <w:rFonts w:ascii="Times New Roman" w:cs="Times New Roman" w:eastAsia="Times New Roman" w:hAnsi="Times New Roman"/>
            <w:sz w:val="11"/>
            <w:szCs w:val="11"/>
            <w:u w:val="single" w:color="auto"/>
            <w:color w:val="0000EE"/>
          </w:rPr>
          <w:t>our annual report on</w:t>
        </w:r>
      </w:hyperlink>
      <w:r>
        <w:rPr>
          <w:rFonts w:ascii="Times New Roman" w:cs="Times New Roman" w:eastAsia="Times New Roman" w:hAnsi="Times New Roman"/>
          <w:sz w:val="11"/>
          <w:szCs w:val="11"/>
          <w:color w:val="auto"/>
        </w:rPr>
        <w:t xml:space="preserve"> </w:t>
      </w:r>
      <w:hyperlink r:id="rId16">
        <w:r>
          <w:rPr>
            <w:rFonts w:ascii="Times New Roman" w:cs="Times New Roman" w:eastAsia="Times New Roman" w:hAnsi="Times New Roman"/>
            <w:sz w:val="11"/>
            <w:szCs w:val="11"/>
            <w:u w:val="single" w:color="auto"/>
            <w:color w:val="0000EE"/>
          </w:rPr>
          <w:t>Form 20-F for the year ended December 31, 2024</w:t>
        </w:r>
        <w:r>
          <w:rPr>
            <w:rFonts w:ascii="Times New Roman" w:cs="Times New Roman" w:eastAsia="Times New Roman" w:hAnsi="Times New Roman"/>
            <w:sz w:val="11"/>
            <w:szCs w:val="11"/>
            <w:color w:val="000000"/>
          </w:rPr>
          <w:t>, which is incorporated by reference in this prospectus.</w:t>
        </w:r>
      </w:hyperlink>
    </w:p>
    <w:p>
      <w:pPr>
        <w:spacing w:after="0" w:line="53" w:lineRule="exact"/>
        <w:rPr>
          <w:sz w:val="20"/>
          <w:szCs w:val="20"/>
          <w:color w:val="auto"/>
        </w:rPr>
      </w:pPr>
    </w:p>
    <w:p>
      <w:pPr>
        <w:jc w:val="both"/>
        <w:ind w:left="860" w:right="879" w:firstLine="269"/>
        <w:spacing w:after="0" w:line="274" w:lineRule="auto"/>
        <w:rPr>
          <w:sz w:val="20"/>
          <w:szCs w:val="20"/>
          <w:color w:val="auto"/>
        </w:rPr>
      </w:pPr>
      <w:r>
        <w:rPr>
          <w:rFonts w:ascii="Times New Roman" w:cs="Times New Roman" w:eastAsia="Times New Roman" w:hAnsi="Times New Roman"/>
          <w:sz w:val="11"/>
          <w:szCs w:val="11"/>
          <w:b w:val="1"/>
          <w:bCs w:val="1"/>
          <w:color w:val="auto"/>
        </w:rPr>
        <w:t>Investing in these securities involves risks. See the “Risk Factors” section contained in the applicable prospectus supplement and the documents we incorporate by reference in this prospectus to read about factors you should consider before investing in our securities.</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color w:val="auto"/>
        </w:rPr>
        <w:t>This prospectus may not be used to offer or sell any securities unless accompanied by a prospectus supplement.</w:t>
      </w:r>
    </w:p>
    <w:p>
      <w:pPr>
        <w:spacing w:after="0" w:line="43" w:lineRule="exact"/>
        <w:rPr>
          <w:sz w:val="20"/>
          <w:szCs w:val="20"/>
          <w:color w:val="auto"/>
        </w:rPr>
      </w:pPr>
    </w:p>
    <w:p>
      <w:pPr>
        <w:jc w:val="both"/>
        <w:ind w:left="860" w:right="879" w:firstLine="269"/>
        <w:spacing w:after="0" w:line="252"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securities or passed upon the accuracy or adequacy of the disclosures in this prospectus, including any prospectus supplement and documents incorporated by reference. Any representation to the contrary is a criminal offense.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The date of this prospectus is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177800</wp:posOffset>
            </wp:positionV>
            <wp:extent cx="511556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 w:name="page4"/>
    <w:bookmarkEnd w:id="3"/>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ABOUT</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-77470</wp:posOffset>
            </wp:positionV>
            <wp:extent cx="3897630" cy="89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897630" cy="89535"/>
                    </a:xfrm>
                    <a:prstGeom prst="rect">
                      <a:avLst/>
                    </a:prstGeom>
                    <a:noFill/>
                  </pic:spPr>
                </pic:pic>
              </a:graphicData>
            </a:graphic>
          </wp:anchor>
        </w:drawing>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FORWARD</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-4445</wp:posOffset>
            </wp:positionV>
            <wp:extent cx="3897630" cy="147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OUR</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COMPANY</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CORPORATE</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3897630" cy="147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RISK</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FACTORS</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USE</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3897630" cy="147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DESCRIPTION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SHARE CAPITAL</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DESCRIPTION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3897630" cy="147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DESCRIPTION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PREFERRED SHARES</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DESCRIPTION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3897630" cy="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DESCRIPTION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DEBT SECURITIES</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DESCRIPTION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389763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DESCRIPTION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UNITS</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ENFORCEABILITY</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3897630" cy="14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u w:val="single" w:color="auto"/>
          <w:color w:val="0000EE"/>
        </w:rPr>
        <w:t>TAXATION</w:t>
      </w:r>
      <w:r>
        <w:rPr>
          <w:rFonts w:ascii="Times New Roman" w:cs="Times New Roman" w:eastAsia="Times New Roman" w:hAnsi="Times New Roman"/>
          <w:sz w:val="13"/>
          <w:szCs w:val="13"/>
          <w:color w:val="000000"/>
        </w:rPr>
        <w:t>​</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PLAN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3897630" cy="14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897630" cy="14732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LEGAL</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MATTERS</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u w:val="single" w:color="auto"/>
          <w:color w:val="0000EE"/>
        </w:rPr>
        <w:t>EXPERTS</w:t>
      </w:r>
      <w:r>
        <w:rPr>
          <w:rFonts w:ascii="Times New Roman" w:cs="Times New Roman" w:eastAsia="Times New Roman" w:hAnsi="Times New Roman"/>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18415</wp:posOffset>
            </wp:positionV>
            <wp:extent cx="389763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897630" cy="128270"/>
                    </a:xfrm>
                    <a:prstGeom prst="rect">
                      <a:avLst/>
                    </a:prstGeom>
                    <a:noFill/>
                  </pic:spPr>
                </pic:pic>
              </a:graphicData>
            </a:graphic>
          </wp:anchor>
        </w:drawing>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WHERE</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YOU CAN FIND MORE INFORMATION ABOUT US</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0000EE"/>
        </w:rPr>
        <w:t>INCORPORATION</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b w:val="1"/>
          <w:bCs w:val="1"/>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0</wp:posOffset>
            </wp:positionV>
            <wp:extent cx="207708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0770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1</w:t>
      </w:r>
      <w:r>
        <w:rPr>
          <w:rFonts w:ascii="Times New Roman" w:cs="Times New Roman" w:eastAsia="Times New Roman" w:hAnsi="Times New Roman"/>
          <w:sz w:val="13"/>
          <w:szCs w:val="13"/>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2</w:t>
      </w:r>
      <w:r>
        <w:rPr>
          <w:rFonts w:ascii="Times New Roman" w:cs="Times New Roman" w:eastAsia="Times New Roman" w:hAnsi="Times New Roman"/>
          <w:sz w:val="13"/>
          <w:szCs w:val="13"/>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3</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4</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5</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6</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7</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19</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27</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29</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30</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32</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34</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35</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36</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37</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40</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41</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42</w:t>
      </w:r>
      <w:r>
        <w:rPr>
          <w:rFonts w:ascii="Times New Roman" w:cs="Times New Roman" w:eastAsia="Times New Roman" w:hAnsi="Times New Roman"/>
          <w:sz w:val="13"/>
          <w:szCs w:val="13"/>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43</w:t>
      </w:r>
      <w:r>
        <w:rPr>
          <w:rFonts w:ascii="Times New Roman" w:cs="Times New Roman" w:eastAsia="Times New Roman" w:hAnsi="Times New Roman"/>
          <w:sz w:val="13"/>
          <w:szCs w:val="13"/>
          <w:color w:val="auto"/>
        </w:rPr>
        <w:t>​</w:t>
      </w:r>
    </w:p>
    <w:p>
      <w:pPr>
        <w:sectPr>
          <w:pgSz w:w="11900" w:h="16838" w:orient="portrait"/>
          <w:cols w:equalWidth="0" w:num="2">
            <w:col w:w="6600" w:space="720"/>
            <w:col w:w="1699"/>
          </w:cols>
          <w:pgMar w:left="1440" w:top="102" w:right="1440" w:bottom="1440" w:gutter="0" w:footer="0" w:header="0"/>
        </w:sectPr>
      </w:pPr>
    </w:p>
    <w:bookmarkStart w:id="4" w:name="page5"/>
    <w:bookmarkEnd w:id="4"/>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27" w:lineRule="exact"/>
        <w:rPr>
          <w:sz w:val="20"/>
          <w:szCs w:val="20"/>
          <w:color w:val="auto"/>
        </w:rPr>
      </w:pPr>
    </w:p>
    <w:p>
      <w:pPr>
        <w:jc w:val="both"/>
        <w:ind w:left="1440" w:right="1439" w:firstLine="269"/>
        <w:spacing w:after="0" w:line="263" w:lineRule="auto"/>
        <w:rPr>
          <w:sz w:val="20"/>
          <w:szCs w:val="20"/>
          <w:color w:val="auto"/>
        </w:rPr>
      </w:pPr>
      <w:r>
        <w:rPr>
          <w:rFonts w:ascii="Times New Roman" w:cs="Times New Roman" w:eastAsia="Times New Roman" w:hAnsi="Times New Roman"/>
          <w:sz w:val="13"/>
          <w:szCs w:val="13"/>
          <w:color w:val="auto"/>
        </w:rPr>
        <w:t>This prospectus is part of a shelf registration statement that we filed with the Securities and Exchange Commission, or the SEC. By using a shelf registration statement, we may, at any time and from time to time, offer and sell up to an aggregate of $270.0 million the securities as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the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247" w:lineRule="exact"/>
        <w:rPr>
          <w:sz w:val="20"/>
          <w:szCs w:val="20"/>
          <w:color w:val="auto"/>
        </w:rPr>
      </w:pPr>
    </w:p>
    <w:p>
      <w:pPr>
        <w:jc w:val="both"/>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In this prospectus, unless otherwise indicated or unless the context otherwise requires, references to:</w:t>
      </w:r>
    </w:p>
    <w:p>
      <w:pPr>
        <w:spacing w:after="0" w:line="93" w:lineRule="exact"/>
        <w:rPr>
          <w:sz w:val="20"/>
          <w:szCs w:val="20"/>
          <w:color w:val="auto"/>
        </w:rPr>
      </w:pPr>
    </w:p>
    <w:p>
      <w:pPr>
        <w:ind w:left="1840" w:hanging="136"/>
        <w:spacing w:after="0"/>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“ADRs” are to American depositary receipts, which, if issued, evidence the ADSs;</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69" w:lineRule="auto"/>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“ADSs” are to the American depositary shares, each of which represents 15 of our Class A ordinary shares;</w:t>
      </w:r>
    </w:p>
    <w:p>
      <w:pPr>
        <w:spacing w:after="0" w:line="236" w:lineRule="exact"/>
        <w:rPr>
          <w:rFonts w:ascii="Times New Roman" w:cs="Times New Roman" w:eastAsia="Times New Roman" w:hAnsi="Times New Roman"/>
          <w:sz w:val="13"/>
          <w:szCs w:val="13"/>
          <w:color w:val="auto"/>
        </w:rPr>
      </w:pPr>
    </w:p>
    <w:p>
      <w:pPr>
        <w:jc w:val="both"/>
        <w:ind w:left="1840" w:right="1459" w:hanging="136"/>
        <w:spacing w:after="0" w:line="291" w:lineRule="auto"/>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“China” and the “PRC” are to the People’s Republic of China, excluding, for the purposes of this prospectus only, Taiwan, the Hong Kong Special Administrative Region and the Macao Special Administrative Region;</w:t>
      </w:r>
    </w:p>
    <w:p>
      <w:pPr>
        <w:spacing w:after="0" w:line="20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A Convertible Preferred Shares” are to our series A convertible preferred shares, par value $0.00000005 per share;</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A-1 Preferred Shares” are to our series A-1 convertible preferred shares, par value $0.00000005 per share;</w:t>
      </w:r>
    </w:p>
    <w:p>
      <w:pPr>
        <w:spacing w:after="0" w:line="32" w:lineRule="exact"/>
        <w:rPr>
          <w:rFonts w:ascii="Times New Roman" w:cs="Times New Roman" w:eastAsia="Times New Roman" w:hAnsi="Times New Roman"/>
          <w:sz w:val="13"/>
          <w:szCs w:val="13"/>
          <w:color w:val="auto"/>
        </w:rPr>
      </w:pPr>
    </w:p>
    <w:p>
      <w:pPr>
        <w:jc w:val="both"/>
        <w:ind w:left="1840" w:right="1459" w:hanging="136"/>
        <w:spacing w:after="0" w:line="271" w:lineRule="auto"/>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“PRC subsidiaries” are to, for the purpose of this prospectus, Hangzhou Canaan Intelligence Information Technology Co., Ltd., Canaan Creative Co., Ltd., Langfang Creative Technology Co., Ltd., Canaan Convey Co., Ltd., Zhejiang Avalon Technology Co., Ltd., Canaan Bright Sight Co., Ltd., Canaan Creative (SH) Co., Ltd, Beijing Kunlun Technology Co., Ltd. and Hangzhou Ruihong Technology.</w:t>
      </w:r>
    </w:p>
    <w:p>
      <w:pPr>
        <w:spacing w:after="0" w:line="213" w:lineRule="exact"/>
        <w:rPr>
          <w:rFonts w:ascii="Times New Roman" w:cs="Times New Roman" w:eastAsia="Times New Roman" w:hAnsi="Times New Roman"/>
          <w:sz w:val="13"/>
          <w:szCs w:val="13"/>
          <w:color w:val="auto"/>
        </w:rPr>
      </w:pPr>
    </w:p>
    <w:p>
      <w:pPr>
        <w:jc w:val="both"/>
        <w:ind w:left="1840" w:right="1459" w:hanging="136"/>
        <w:spacing w:after="0" w:line="272" w:lineRule="auto"/>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subsidiaries” are to, for the purpose of this prospectus, Canaan Creative Co., Ltd., Langfang Creative Technology Co., Ltd., Canaan Convey Co., Ltd., Zhejiang Avalon Technology Co., Ltd., Canaan Creative (SH) Co., Ltd, Canaan Creative International PTE. Ltd., Canaan Creative Global Pte. Ltd., and Canaan U.S. Inc.</w:t>
      </w:r>
    </w:p>
    <w:p>
      <w:pPr>
        <w:spacing w:after="0" w:line="49"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“RMB” or “Renminbi” are to the legal currency of China;</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“U.S. dollars,” or “dollars” are to the legal currency of the United States; and</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“us,” “our company,” “the Company,” “our” and “Canaan” are to Canaan Inc. and its subsidiaries,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 w:name="page6"/>
    <w:bookmarkEnd w:id="5"/>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27" w:lineRule="exact"/>
        <w:rPr>
          <w:sz w:val="20"/>
          <w:szCs w:val="20"/>
          <w:color w:val="auto"/>
        </w:rPr>
      </w:pPr>
    </w:p>
    <w:p>
      <w:pPr>
        <w:jc w:val="both"/>
        <w:ind w:left="1440" w:right="1439" w:firstLine="269"/>
        <w:spacing w:after="0" w:line="263" w:lineRule="auto"/>
        <w:rPr>
          <w:sz w:val="20"/>
          <w:szCs w:val="20"/>
          <w:color w:val="auto"/>
        </w:rPr>
      </w:pPr>
      <w:r>
        <w:rPr>
          <w:rFonts w:ascii="Times New Roman" w:cs="Times New Roman" w:eastAsia="Times New Roman" w:hAnsi="Times New Roman"/>
          <w:sz w:val="13"/>
          <w:szCs w:val="13"/>
          <w:color w:val="auto"/>
        </w:rPr>
        <w:t>This prospectus and the documents incorporated by reference herein contain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These forward-looking statements relate to, among others:</w:t>
      </w:r>
    </w:p>
    <w:p>
      <w:pPr>
        <w:spacing w:after="0" w:line="222" w:lineRule="exact"/>
        <w:rPr>
          <w:sz w:val="20"/>
          <w:szCs w:val="20"/>
          <w:color w:val="auto"/>
        </w:rPr>
      </w:pPr>
    </w:p>
    <w:p>
      <w:pPr>
        <w:ind w:left="1840" w:hanging="136"/>
        <w:spacing w:after="0"/>
        <w:tabs>
          <w:tab w:leader="none" w:pos="18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goal and strategies;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expansion plans;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future business development, financial condition and results of operations;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expectations regarding demand for, and market acceptance of, our products;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and business conditions; and</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 factors discussed under “Risk Factors” included in the applicable prospectus supplement or under similar headings in other documents which are incorporated by reference in this prospectus.</w:t>
      </w:r>
    </w:p>
    <w:p>
      <w:pPr>
        <w:spacing w:after="0" w:line="63"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66" w:lineRule="exact"/>
        <w:rPr>
          <w:sz w:val="20"/>
          <w:szCs w:val="20"/>
          <w:color w:val="auto"/>
        </w:rPr>
      </w:pPr>
    </w:p>
    <w:p>
      <w:pPr>
        <w:jc w:val="both"/>
        <w:ind w:left="1440" w:right="1439" w:firstLine="269"/>
        <w:spacing w:after="0" w:line="262" w:lineRule="auto"/>
        <w:rPr>
          <w:sz w:val="20"/>
          <w:szCs w:val="20"/>
          <w:color w:val="auto"/>
        </w:rPr>
      </w:pPr>
      <w:r>
        <w:rPr>
          <w:rFonts w:ascii="Times New Roman" w:cs="Times New Roman" w:eastAsia="Times New Roman" w:hAnsi="Times New Roman"/>
          <w:sz w:val="13"/>
          <w:szCs w:val="13"/>
          <w:color w:val="auto"/>
        </w:rPr>
        <w:t>You should read these statements in conjunction with the risks discussed under the heading “Risk Factors” included in the applicable prospectus supplement or under similar headings in other documents which are incorporated by reference in this prospectus.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prospectus and the documents incorporated by reference herein relate only to events or information as of the date on which the statements are made in this prospectus and such incorporated documents. Except as required by law, we undertake no obligation to update any forward-looking statements to reflect events or circumstances after the date on which the statements are made or to reflect the occurrence of unanticipated events. You should read this prospectus and the documents incorporated by reference herein and have filed as exhibits to this prospectus and the incorporated documents,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 w:name="page7"/>
    <w:bookmarkEnd w:id="6"/>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OUR COMPANY</w:t>
      </w:r>
    </w:p>
    <w:p>
      <w:pPr>
        <w:spacing w:after="0" w:line="127" w:lineRule="exact"/>
        <w:rPr>
          <w:sz w:val="20"/>
          <w:szCs w:val="20"/>
          <w:color w:val="auto"/>
        </w:rPr>
      </w:pPr>
    </w:p>
    <w:p>
      <w:pPr>
        <w:jc w:val="both"/>
        <w:ind w:left="1440" w:right="1439" w:firstLine="269"/>
        <w:spacing w:after="0" w:line="262" w:lineRule="auto"/>
        <w:rPr>
          <w:sz w:val="20"/>
          <w:szCs w:val="20"/>
          <w:color w:val="auto"/>
        </w:rPr>
      </w:pPr>
      <w:r>
        <w:rPr>
          <w:rFonts w:ascii="Times New Roman" w:cs="Times New Roman" w:eastAsia="Times New Roman" w:hAnsi="Times New Roman"/>
          <w:sz w:val="13"/>
          <w:szCs w:val="13"/>
          <w:color w:val="auto"/>
        </w:rPr>
        <w:t>We primarily focus on providing crypto mining solutions through our proprietary ASICs. We have strong ASIC chip design capability underpinned by over ten years of industry experience and the expertise of our founders and management team. We are one of the few fabless IC design companies with the advanced technology to independently design ASIC, established access to leading wafer foundry capacity and proven in-house capability to produce Bitcoin mining machines. We primarily dedicated technology and expertise in ASIC applications to industrial Bitcoin mining machines and are a leading producer of Bitcoin mining machines in the global market. In addition, to further diversify our product offering and democratize access to bitcoin mining, we launched the Avalon Home series in 2024 and formally commercialized it in 2025, a new line of compact, energy-efficient mining devices crafted for individual users and home environments. The Avalon Home series represents our first step into the home-use mining machine market, blending reliable hash rate output with user-friendly interfaces, low noise operation, and streamlined connectivity. We believe our extensive experience and expertise in ASIC applications position us well in our future endeavors.</w:t>
      </w:r>
    </w:p>
    <w:p>
      <w:pPr>
        <w:spacing w:after="0" w:line="253" w:lineRule="exact"/>
        <w:rPr>
          <w:sz w:val="20"/>
          <w:szCs w:val="20"/>
          <w:color w:val="auto"/>
        </w:rPr>
      </w:pPr>
    </w:p>
    <w:p>
      <w:pPr>
        <w:jc w:val="both"/>
        <w:ind w:left="1440" w:right="1439" w:firstLine="269"/>
        <w:spacing w:after="0" w:line="263" w:lineRule="auto"/>
        <w:rPr>
          <w:sz w:val="20"/>
          <w:szCs w:val="20"/>
          <w:color w:val="auto"/>
        </w:rPr>
      </w:pPr>
      <w:r>
        <w:rPr>
          <w:rFonts w:ascii="Times New Roman" w:cs="Times New Roman" w:eastAsia="Times New Roman" w:hAnsi="Times New Roman"/>
          <w:sz w:val="13"/>
          <w:szCs w:val="13"/>
          <w:color w:val="auto"/>
        </w:rPr>
        <w:t>Leveraging our deep understanding of the cryptocurrency industry and strong technology as applied to ASIC chip design, we intend to capture the growth opportunity along the value chain of the cryptocurrency industry to enhance our offerings and achieve more stable financial performance. We have started with the Bitcoin mining business through our strategic collaboration with certain cryptocurrency mining farms and energy providers, aiming to develop the Bitcoin mining business as the second engine to capitalize on the Bitcoin ecosystem and synergize with our bitcoin mining machines sales. We also intend to engage in Bitcoin mining through self-owned facilities. We endeavor to grow our deployed computing power for mining and improve the energized hash rate to enhance our mining business. For the years ended December 31, 2023, 2024 and 2025, we generated revenue of US$34.0 million, US$44.0 million and US$113.2 million from the Bitcoin mining business, respectively.</w:t>
      </w:r>
    </w:p>
    <w:p>
      <w:pPr>
        <w:spacing w:after="0" w:line="242"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We have developed competitive advantages in our business and technological capabilities, including the following:</w:t>
      </w:r>
    </w:p>
    <w:p>
      <w:pPr>
        <w:spacing w:after="0" w:line="33" w:lineRule="exact"/>
        <w:rPr>
          <w:sz w:val="20"/>
          <w:szCs w:val="20"/>
          <w:color w:val="auto"/>
        </w:rPr>
      </w:pPr>
    </w:p>
    <w:p>
      <w:pPr>
        <w:ind w:left="1840" w:hanging="136"/>
        <w:spacing w:after="0"/>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expertise in the development, designing and production of Bitcoin mining machines;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mastery of the whole IC design process;</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years of accumulated engineering experience in applying theoretical research to the mass production of new products;</w:t>
      </w:r>
    </w:p>
    <w:p>
      <w:pPr>
        <w:spacing w:after="0" w:line="32" w:lineRule="exact"/>
        <w:rPr>
          <w:rFonts w:ascii="Times New Roman" w:cs="Times New Roman" w:eastAsia="Times New Roman" w:hAnsi="Times New Roman"/>
          <w:sz w:val="13"/>
          <w:szCs w:val="13"/>
          <w:color w:val="auto"/>
        </w:rPr>
      </w:pPr>
    </w:p>
    <w:p>
      <w:pPr>
        <w:jc w:val="both"/>
        <w:ind w:left="1840" w:right="1459" w:hanging="136"/>
        <w:spacing w:after="0" w:line="278" w:lineRule="auto"/>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achieve a fast time-to-market with our products and our successful early monetization of the ASIC design in blockchain applications have provided us with an early advantage with respect to both technology and capital reserve to pursue our strategic initiatives;</w:t>
      </w:r>
    </w:p>
    <w:p>
      <w:pPr>
        <w:spacing w:after="0" w:line="45" w:lineRule="exact"/>
        <w:rPr>
          <w:rFonts w:ascii="Times New Roman" w:cs="Times New Roman" w:eastAsia="Times New Roman" w:hAnsi="Times New Roman"/>
          <w:sz w:val="13"/>
          <w:szCs w:val="13"/>
          <w:color w:val="auto"/>
        </w:rPr>
      </w:pPr>
    </w:p>
    <w:p>
      <w:pPr>
        <w:jc w:val="both"/>
        <w:ind w:left="1840" w:right="1439" w:hanging="136"/>
        <w:spacing w:after="0" w:line="278" w:lineRule="auto"/>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breakthroughs in various technological fields to improve ASIC performance, such as low voltage and high power efficiency operations and high computing density, all of which are crucial features for ASICs for blockchain;</w:t>
      </w:r>
    </w:p>
    <w:p>
      <w:pPr>
        <w:spacing w:after="0" w:line="45" w:lineRule="exact"/>
        <w:rPr>
          <w:rFonts w:ascii="Times New Roman" w:cs="Times New Roman" w:eastAsia="Times New Roman" w:hAnsi="Times New Roman"/>
          <w:sz w:val="13"/>
          <w:szCs w:val="13"/>
          <w:color w:val="auto"/>
        </w:rPr>
      </w:pPr>
    </w:p>
    <w:p>
      <w:pPr>
        <w:jc w:val="both"/>
        <w:ind w:left="1840" w:right="1459" w:hanging="136"/>
        <w:spacing w:after="0" w:line="291" w:lineRule="auto"/>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ownership of most of the intellectual property we employ, and our accumulation of valuable know-how and multiple generations of proprietary silicon data through our long-term ASIC design experience;</w:t>
      </w:r>
    </w:p>
    <w:p>
      <w:pPr>
        <w:spacing w:after="0" w:line="20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long-term partnerships with leading global suppliers, which have enabled us to achieve high-quality, high yield rate and stable production;</w:t>
      </w:r>
    </w:p>
    <w:p>
      <w:pPr>
        <w:spacing w:after="0" w:line="32" w:lineRule="exact"/>
        <w:rPr>
          <w:rFonts w:ascii="Times New Roman" w:cs="Times New Roman" w:eastAsia="Times New Roman" w:hAnsi="Times New Roman"/>
          <w:sz w:val="13"/>
          <w:szCs w:val="13"/>
          <w:color w:val="auto"/>
        </w:rPr>
      </w:pPr>
    </w:p>
    <w:p>
      <w:pPr>
        <w:jc w:val="both"/>
        <w:ind w:left="1840" w:right="1459" w:hanging="136"/>
        <w:spacing w:after="0" w:line="291" w:lineRule="auto"/>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continued development of the penetration into the Bitcoin mining business by leveraging our experience in Bitcoin mining machines production and sales, as well as our relationship with global mining farms; and</w:t>
      </w:r>
    </w:p>
    <w:p>
      <w:pPr>
        <w:spacing w:after="0" w:line="202" w:lineRule="exact"/>
        <w:rPr>
          <w:rFonts w:ascii="Times New Roman" w:cs="Times New Roman" w:eastAsia="Times New Roman" w:hAnsi="Times New Roman"/>
          <w:sz w:val="13"/>
          <w:szCs w:val="13"/>
          <w:color w:val="auto"/>
        </w:rPr>
      </w:pPr>
    </w:p>
    <w:p>
      <w:pPr>
        <w:jc w:val="both"/>
        <w:ind w:left="1840" w:right="1459" w:hanging="136"/>
        <w:spacing w:after="0" w:line="278" w:lineRule="auto"/>
        <w:tabs>
          <w:tab w:leader="none" w:pos="18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provide customized solutions to our customers, including tailored mining solutions, energy infrastructure stabilizer solutions, algorithm development and optimization, hardware module, end-product and software services.</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 w:name="page8"/>
    <w:bookmarkEnd w:id="7"/>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127" w:lineRule="exact"/>
        <w:rPr>
          <w:sz w:val="20"/>
          <w:szCs w:val="20"/>
          <w:color w:val="auto"/>
        </w:rPr>
      </w:pPr>
    </w:p>
    <w:p>
      <w:pPr>
        <w:jc w:val="both"/>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Our principal executive offices are located at 28 Ayer Rajah Crescent, #06-08, Singapore 139959. Our telephone number at this address is +65 6305 6618. Our registered office in the Cayman Islands is located at P.O. Box 31119, Grand Pavilion, Hibiscus Way, 802 West Bay Road, Grand Cayman, KY1-1205, Cayman Islands. Our agent for service of process in the United States is Cogency Global Inc., located at 122 East 42nd Street, 18th Floor, New York, New York 10168.</w:t>
      </w:r>
    </w:p>
    <w:p>
      <w:pPr>
        <w:spacing w:after="0" w:line="81" w:lineRule="exact"/>
        <w:rPr>
          <w:sz w:val="20"/>
          <w:szCs w:val="20"/>
          <w:color w:val="auto"/>
        </w:rPr>
      </w:pPr>
    </w:p>
    <w:p>
      <w:pPr>
        <w:jc w:val="both"/>
        <w:ind w:left="1440" w:right="1459" w:firstLine="269"/>
        <w:spacing w:after="0" w:line="276" w:lineRule="auto"/>
        <w:rPr>
          <w:sz w:val="20"/>
          <w:szCs w:val="20"/>
          <w:color w:val="auto"/>
        </w:rPr>
      </w:pPr>
      <w:r>
        <w:rPr>
          <w:rFonts w:ascii="Times New Roman" w:cs="Times New Roman" w:eastAsia="Times New Roman" w:hAnsi="Times New Roman"/>
          <w:sz w:val="13"/>
          <w:szCs w:val="13"/>
          <w:color w:val="auto"/>
        </w:rPr>
        <w:t xml:space="preserve">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xml:space="preserve">. You can also find information on our website at </w:t>
      </w:r>
      <w:r>
        <w:rPr>
          <w:rFonts w:ascii="Times New Roman" w:cs="Times New Roman" w:eastAsia="Times New Roman" w:hAnsi="Times New Roman"/>
          <w:sz w:val="13"/>
          <w:szCs w:val="13"/>
          <w:i w:val="1"/>
          <w:iCs w:val="1"/>
          <w:color w:val="auto"/>
        </w:rPr>
        <w:t>www.canaan-creative.com</w:t>
      </w:r>
      <w:r>
        <w:rPr>
          <w:rFonts w:ascii="Times New Roman" w:cs="Times New Roman" w:eastAsia="Times New Roman" w:hAnsi="Times New Roman"/>
          <w:sz w:val="13"/>
          <w:szCs w:val="13"/>
          <w:color w:val="auto"/>
        </w:rPr>
        <w:t>. The information contained on our website is not a part of this prospectus.</w:t>
      </w:r>
    </w:p>
    <w:p>
      <w:pPr>
        <w:spacing w:after="0" w:line="231" w:lineRule="exact"/>
        <w:rPr>
          <w:sz w:val="20"/>
          <w:szCs w:val="20"/>
          <w:color w:val="auto"/>
        </w:rPr>
      </w:pPr>
    </w:p>
    <w:p>
      <w:pPr>
        <w:jc w:val="both"/>
        <w:ind w:left="1440" w:right="1439" w:firstLine="269"/>
        <w:spacing w:after="0" w:line="262" w:lineRule="auto"/>
        <w:rPr>
          <w:sz w:val="20"/>
          <w:szCs w:val="20"/>
          <w:color w:val="auto"/>
        </w:rPr>
      </w:pPr>
      <w:r>
        <w:rPr>
          <w:rFonts w:ascii="Times New Roman" w:cs="Times New Roman" w:eastAsia="Times New Roman" w:hAnsi="Times New Roman"/>
          <w:sz w:val="13"/>
          <w:szCs w:val="13"/>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in accordance with the terms and conditions of the deposit agreement and, if we so request, will distribute to all record holders of ADSs the information contained in any notice of a shareholders’ meeting received by the depositary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 w:name="page9"/>
    <w:bookmarkEnd w:id="8"/>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27" w:lineRule="exact"/>
        <w:rPr>
          <w:sz w:val="20"/>
          <w:szCs w:val="20"/>
          <w:color w:val="auto"/>
        </w:rPr>
      </w:pPr>
    </w:p>
    <w:p>
      <w:pPr>
        <w:jc w:val="both"/>
        <w:ind w:left="1440" w:right="1439" w:firstLine="269"/>
        <w:spacing w:after="0" w:line="266" w:lineRule="auto"/>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w:t>
      </w:r>
      <w:hyperlink r:id="rId16">
        <w:r>
          <w:rPr>
            <w:rFonts w:ascii="Times New Roman" w:cs="Times New Roman" w:eastAsia="Times New Roman" w:hAnsi="Times New Roman"/>
            <w:sz w:val="13"/>
            <w:szCs w:val="13"/>
            <w:u w:val="single" w:color="auto"/>
            <w:color w:val="0000EE"/>
          </w:rPr>
          <w:t>annual report on Form 20-F for the fiscal year ended December 31, 2024</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which is incorporated by</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reference in this prospectus, and which may be amended, supplemented or superseded from time to time by other reports we file with the SEC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 w:name="page10"/>
    <w:bookmarkEnd w:id="9"/>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27" w:lineRule="exact"/>
        <w:rPr>
          <w:sz w:val="20"/>
          <w:szCs w:val="20"/>
          <w:color w:val="auto"/>
        </w:rPr>
      </w:pPr>
    </w:p>
    <w:p>
      <w:pPr>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We intend to use the net proceeds from the sale of the securities we offer as set forth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 w:name="page11"/>
    <w:bookmarkEnd w:id="10"/>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SHARE CAPITAL</w:t>
      </w:r>
    </w:p>
    <w:p>
      <w:pPr>
        <w:spacing w:after="0" w:line="127"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We are an exempted company incorporated in the Cayman Islands with limited liability and our affairs are governed by our memorandum and articles of association, and the Companies Act of the Cayman Islands, as amended, which we refer to as the Cayman Companies Act, and the common law of the Cayman Islands.</w:t>
      </w:r>
    </w:p>
    <w:p>
      <w:pPr>
        <w:spacing w:after="0" w:line="234" w:lineRule="exact"/>
        <w:rPr>
          <w:sz w:val="20"/>
          <w:szCs w:val="20"/>
          <w:color w:val="auto"/>
        </w:rPr>
      </w:pPr>
    </w:p>
    <w:p>
      <w:pPr>
        <w:jc w:val="both"/>
        <w:ind w:left="1440" w:right="1459" w:firstLine="269"/>
        <w:spacing w:after="0" w:line="261" w:lineRule="auto"/>
        <w:rPr>
          <w:sz w:val="20"/>
          <w:szCs w:val="20"/>
          <w:color w:val="auto"/>
        </w:rPr>
      </w:pPr>
      <w:r>
        <w:rPr>
          <w:rFonts w:ascii="Times New Roman" w:cs="Times New Roman" w:eastAsia="Times New Roman" w:hAnsi="Times New Roman"/>
          <w:sz w:val="13"/>
          <w:szCs w:val="13"/>
          <w:color w:val="auto"/>
        </w:rPr>
        <w:t>As of the date of this prospectus, our authorized share capital was US $50,000 divided into 999,643,050,556 Class A ordinary shares of per value US$0.00000005 each and 356,624,444 Class B ordinary shares of par value US $0.00000005 each, 125,000 Series A Preferred Shares of par value US$0.00000005 each, and 200,000 Series A-1 Preferred Shares of par value US$0.00000005 each.</w:t>
      </w:r>
    </w:p>
    <w:p>
      <w:pPr>
        <w:spacing w:after="0" w:line="77" w:lineRule="exact"/>
        <w:rPr>
          <w:sz w:val="20"/>
          <w:szCs w:val="20"/>
          <w:color w:val="auto"/>
        </w:rPr>
      </w:pPr>
    </w:p>
    <w:p>
      <w:pPr>
        <w:jc w:val="both"/>
        <w:ind w:left="1440" w:right="1459" w:firstLine="269"/>
        <w:spacing w:after="0" w:line="270" w:lineRule="auto"/>
        <w:rPr>
          <w:sz w:val="20"/>
          <w:szCs w:val="20"/>
          <w:color w:val="auto"/>
        </w:rPr>
      </w:pPr>
      <w:r>
        <w:rPr>
          <w:rFonts w:ascii="Times New Roman" w:cs="Times New Roman" w:eastAsia="Times New Roman" w:hAnsi="Times New Roman"/>
          <w:sz w:val="13"/>
          <w:szCs w:val="13"/>
          <w:color w:val="auto"/>
        </w:rPr>
        <w:t>As of the date of this prospectus, we have 11,237,922,873 Class A ordinary shares and 311,624,444 Class B ordinary shares issued and outstanding. As of the date of this prospectus, there are no issued and outstanding preferred shares.</w:t>
      </w:r>
    </w:p>
    <w:p>
      <w:pPr>
        <w:spacing w:after="0" w:line="71"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The following are summaries of certain material provisions of our amended and restated memorandum and articles of association adopted by special resolution passed on October 8, 2019 and effective immediately prior to the completion of the initial public offering of our ADSs representing our Class A ordinary shares, or our articles of association and the Cayman Companies Act insofar as they relate to the material terms of our ordinary shares. The following summary is not complete, and you should read our amended and restated memorandum and articles of association, a form of which was filed with the SEC as Exhibit 3.2 to the registration statement on Form F-1 (File No. 333-234356), originally filed on October 28, 2019, as amended.</w:t>
      </w:r>
    </w:p>
    <w:p>
      <w:pPr>
        <w:spacing w:after="0" w:line="2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Ordinary Shares</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127" w:lineRule="exact"/>
        <w:rPr>
          <w:sz w:val="20"/>
          <w:szCs w:val="20"/>
          <w:color w:val="auto"/>
        </w:rPr>
      </w:pPr>
    </w:p>
    <w:p>
      <w:pPr>
        <w:jc w:val="both"/>
        <w:ind w:left="1440" w:right="1439" w:firstLine="269"/>
        <w:spacing w:after="0" w:line="253" w:lineRule="auto"/>
        <w:rPr>
          <w:sz w:val="20"/>
          <w:szCs w:val="20"/>
          <w:color w:val="auto"/>
        </w:rPr>
      </w:pPr>
      <w:r>
        <w:rPr>
          <w:rFonts w:ascii="Times New Roman" w:cs="Times New Roman" w:eastAsia="Times New Roman" w:hAnsi="Times New Roman"/>
          <w:sz w:val="13"/>
          <w:szCs w:val="13"/>
          <w:color w:val="auto"/>
        </w:rPr>
        <w:t>All of our issued and outstanding ordinary shares are fully paid and non-assessable.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15 votes on all matters subject to vote at our general meetings. Our ordinary shares are issued in registered form, and are issued when registered in our register of shareholders. Our shareholders who are non -residents of the Cayman Islands may freely hold and vote their ordinary shares. We may not issue shares to bearer.</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Conversion</w:t>
      </w:r>
    </w:p>
    <w:p>
      <w:pPr>
        <w:spacing w:after="0" w:line="127" w:lineRule="exact"/>
        <w:rPr>
          <w:sz w:val="20"/>
          <w:szCs w:val="20"/>
          <w:color w:val="auto"/>
        </w:rPr>
      </w:pPr>
    </w:p>
    <w:p>
      <w:pPr>
        <w:jc w:val="both"/>
        <w:ind w:left="1440" w:right="1439" w:firstLine="269"/>
        <w:spacing w:after="0" w:line="264" w:lineRule="auto"/>
        <w:rPr>
          <w:sz w:val="20"/>
          <w:szCs w:val="20"/>
          <w:color w:val="auto"/>
        </w:rPr>
      </w:pPr>
      <w:r>
        <w:rPr>
          <w:rFonts w:ascii="Times New Roman" w:cs="Times New Roman" w:eastAsia="Times New Roman" w:hAnsi="Times New Roman"/>
          <w:sz w:val="13"/>
          <w:szCs w:val="13"/>
          <w:color w:val="auto"/>
        </w:rPr>
        <w:t>Each Class B ordinary share is convertible into one Class A ordinary share at any time at the option of the holder thereof. Class A ordinary shares are not convertible into Class B ordinary shares under any circumstances. Pursuant to our articles of association, upon any sale, transfer, assignment or disposition of any Class B ordinary share by a holder thereof to any person who is not an affiliate of such holder, or upon a change of ultimate beneficial ownership of any Class B ordinary share to any person who is not an affiliate of the registered shareholder of such Class B ordinary share, such Class B ordinary share shall be automatically and immediately converted into the same number of Class A ordinary share. For this purpose, beneficial ownership shall have the meaning set forth in Rule 13d-3 under the United States Securities Exchange Act of 1934, as amended.</w:t>
      </w:r>
    </w:p>
    <w:p>
      <w:pPr>
        <w:spacing w:after="0" w:line="249" w:lineRule="exact"/>
        <w:rPr>
          <w:sz w:val="20"/>
          <w:szCs w:val="20"/>
          <w:color w:val="auto"/>
        </w:rPr>
      </w:pPr>
    </w:p>
    <w:p>
      <w:pPr>
        <w:jc w:val="both"/>
        <w:ind w:left="1440" w:right="1459" w:firstLine="269"/>
        <w:spacing w:after="0" w:line="263" w:lineRule="auto"/>
        <w:rPr>
          <w:sz w:val="20"/>
          <w:szCs w:val="20"/>
          <w:color w:val="auto"/>
        </w:rPr>
      </w:pPr>
      <w:r>
        <w:rPr>
          <w:rFonts w:ascii="Times New Roman" w:cs="Times New Roman" w:eastAsia="Times New Roman" w:hAnsi="Times New Roman"/>
          <w:sz w:val="13"/>
          <w:szCs w:val="13"/>
          <w:color w:val="auto"/>
        </w:rPr>
        <w:t>An “affiliate” for the purposes of our articles of association 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 w:name="page12"/>
    <w:bookmarkEnd w:id="11"/>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70" w:lineRule="auto"/>
        <w:rPr>
          <w:sz w:val="20"/>
          <w:szCs w:val="20"/>
          <w:color w:val="auto"/>
        </w:rPr>
      </w:pPr>
      <w:r>
        <w:rPr>
          <w:rFonts w:ascii="Times New Roman" w:cs="Times New Roman" w:eastAsia="Times New Roman" w:hAnsi="Times New Roman"/>
          <w:sz w:val="13"/>
          <w:szCs w:val="13"/>
          <w:color w:val="auto"/>
        </w:rPr>
        <w:t>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71" w:lineRule="exact"/>
        <w:rPr>
          <w:sz w:val="20"/>
          <w:szCs w:val="20"/>
          <w:color w:val="auto"/>
        </w:rPr>
      </w:pPr>
    </w:p>
    <w:p>
      <w:pPr>
        <w:jc w:val="both"/>
        <w:ind w:left="1440" w:right="1459" w:firstLine="269"/>
        <w:spacing w:after="0" w:line="270" w:lineRule="auto"/>
        <w:rPr>
          <w:sz w:val="20"/>
          <w:szCs w:val="20"/>
          <w:color w:val="auto"/>
        </w:rPr>
      </w:pPr>
      <w:r>
        <w:rPr>
          <w:rFonts w:ascii="Times New Roman" w:cs="Times New Roman" w:eastAsia="Times New Roman" w:hAnsi="Times New Roman"/>
          <w:sz w:val="13"/>
          <w:szCs w:val="13"/>
          <w:color w:val="auto"/>
        </w:rPr>
        <w:t>A “person” for the purposes of our articles of association means any natural person, firm, company, joint venture, partnership, corporation, association or other entity (whether or not having a separate legal personality) or any of them as the context so requires.</w:t>
      </w:r>
    </w:p>
    <w:p>
      <w:pPr>
        <w:spacing w:after="0" w:line="71" w:lineRule="exact"/>
        <w:rPr>
          <w:sz w:val="20"/>
          <w:szCs w:val="20"/>
          <w:color w:val="auto"/>
        </w:rPr>
      </w:pPr>
    </w:p>
    <w:p>
      <w:pPr>
        <w:jc w:val="both"/>
        <w:ind w:left="1440" w:right="1459" w:firstLine="269"/>
        <w:spacing w:after="0" w:line="258" w:lineRule="auto"/>
        <w:rPr>
          <w:sz w:val="20"/>
          <w:szCs w:val="20"/>
          <w:color w:val="auto"/>
        </w:rPr>
      </w:pPr>
      <w:r>
        <w:rPr>
          <w:rFonts w:ascii="Times New Roman" w:cs="Times New Roman" w:eastAsia="Times New Roman" w:hAnsi="Times New Roman"/>
          <w:sz w:val="13"/>
          <w:szCs w:val="13"/>
          <w:color w:val="auto"/>
        </w:rPr>
        <w:t>For the avoidance of doubt, on the transmission of shares following the death of a holder of Class B ordinary shares, such Class B ordinary shares will not automatically convert into the same number of Class A ordinary shares unless such transmission of shares results in a change in ultimate beneficial ownership of such Class B ordinary share(s) to any person who is not an affiliate of the relevant holder of Class B ordinary shares.</w:t>
      </w:r>
    </w:p>
    <w:p>
      <w:pPr>
        <w:spacing w:after="0" w:line="2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127" w:lineRule="exact"/>
        <w:rPr>
          <w:sz w:val="20"/>
          <w:szCs w:val="20"/>
          <w:color w:val="auto"/>
        </w:rPr>
      </w:pPr>
    </w:p>
    <w:p>
      <w:pPr>
        <w:jc w:val="both"/>
        <w:ind w:left="1440" w:right="1439" w:firstLine="269"/>
        <w:spacing w:after="0" w:line="258" w:lineRule="auto"/>
        <w:rPr>
          <w:sz w:val="20"/>
          <w:szCs w:val="20"/>
          <w:color w:val="auto"/>
        </w:rPr>
      </w:pPr>
      <w:r>
        <w:rPr>
          <w:rFonts w:ascii="Times New Roman" w:cs="Times New Roman" w:eastAsia="Times New Roman" w:hAnsi="Times New Roman"/>
          <w:sz w:val="13"/>
          <w:szCs w:val="13"/>
          <w:color w:val="auto"/>
        </w:rPr>
        <w:t>The holders of our ordinary shares are entitled to such dividends as may be declared by our board of directors. In addition, our shareholders may declare dividends by ordinary resolution, but no dividend shall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2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Voting Rights</w:t>
      </w:r>
    </w:p>
    <w:p>
      <w:pPr>
        <w:spacing w:after="0" w:line="127" w:lineRule="exact"/>
        <w:rPr>
          <w:sz w:val="20"/>
          <w:szCs w:val="20"/>
          <w:color w:val="auto"/>
        </w:rPr>
      </w:pPr>
    </w:p>
    <w:p>
      <w:pPr>
        <w:jc w:val="both"/>
        <w:ind w:left="1440" w:right="1459" w:firstLine="269"/>
        <w:spacing w:after="0" w:line="256" w:lineRule="auto"/>
        <w:rPr>
          <w:sz w:val="20"/>
          <w:szCs w:val="20"/>
          <w:color w:val="auto"/>
        </w:rPr>
      </w:pPr>
      <w:r>
        <w:rPr>
          <w:rFonts w:ascii="Times New Roman" w:cs="Times New Roman" w:eastAsia="Times New Roman" w:hAnsi="Times New Roman"/>
          <w:sz w:val="13"/>
          <w:szCs w:val="13"/>
          <w:color w:val="auto"/>
        </w:rPr>
        <w:t>Our ordinary shares consist of Class A ordinary shares and Class B ordinary shares. 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15 votes, on all matters subject to a vote at general meetings of our company.</w:t>
      </w:r>
    </w:p>
    <w:p>
      <w:pPr>
        <w:spacing w:after="0" w:line="81" w:lineRule="exact"/>
        <w:rPr>
          <w:sz w:val="20"/>
          <w:szCs w:val="20"/>
          <w:color w:val="auto"/>
        </w:rPr>
      </w:pPr>
    </w:p>
    <w:p>
      <w:pPr>
        <w:jc w:val="both"/>
        <w:ind w:left="1440" w:right="1459" w:firstLine="269"/>
        <w:spacing w:after="0" w:line="255" w:lineRule="auto"/>
        <w:rPr>
          <w:sz w:val="20"/>
          <w:szCs w:val="20"/>
          <w:color w:val="auto"/>
        </w:rPr>
      </w:pPr>
      <w:r>
        <w:rPr>
          <w:rFonts w:ascii="Times New Roman" w:cs="Times New Roman" w:eastAsia="Times New Roman" w:hAnsi="Times New Roman"/>
          <w:sz w:val="13"/>
          <w:szCs w:val="13"/>
          <w:color w:val="auto"/>
        </w:rPr>
        <w:t>Voting at any meeting of shareholders is by a show of hands, unless a poll is (before or on the declaration of the result of the show of hands) demanded by the chairman of the meeting or any shareholder present in person or by proxy of the Company entitled to vote, and, unless a poll is so demanded, a declaration by the chairman of the meeting that a resolution has, on a show of hands, been carried or carried unanimously, or by a particular majority, or lost and an entry to that effect in the minutes of the proceedings of the Company, shall be conclusive evidence of the fact, without proof of the number of proportion of the votes recorded in favor of, or against that resolution.</w:t>
      </w:r>
    </w:p>
    <w:p>
      <w:pPr>
        <w:spacing w:after="0" w:line="28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Transfer of Shares</w:t>
      </w:r>
    </w:p>
    <w:p>
      <w:pPr>
        <w:spacing w:after="0" w:line="127" w:lineRule="exact"/>
        <w:rPr>
          <w:sz w:val="20"/>
          <w:szCs w:val="20"/>
          <w:color w:val="auto"/>
        </w:rPr>
      </w:pPr>
    </w:p>
    <w:p>
      <w:pPr>
        <w:jc w:val="both"/>
        <w:ind w:left="1440" w:right="1459" w:firstLine="269"/>
        <w:spacing w:after="0" w:line="262" w:lineRule="auto"/>
        <w:rPr>
          <w:sz w:val="20"/>
          <w:szCs w:val="20"/>
          <w:color w:val="auto"/>
        </w:rPr>
      </w:pPr>
      <w:r>
        <w:rPr>
          <w:rFonts w:ascii="Times New Roman" w:cs="Times New Roman" w:eastAsia="Times New Roman" w:hAnsi="Times New Roman"/>
          <w:sz w:val="13"/>
          <w:szCs w:val="13"/>
          <w:color w:val="auto"/>
        </w:rPr>
        <w:t>Any of our shareholders may transfer all or any of his or her ordinary shares by an instrument of transfer in any usual or common form or any other form approved by our board of directors, executed by or on behalf of the transferor.</w:t>
      </w:r>
    </w:p>
    <w:p>
      <w:pPr>
        <w:spacing w:after="0" w:line="76" w:lineRule="exact"/>
        <w:rPr>
          <w:sz w:val="20"/>
          <w:szCs w:val="20"/>
          <w:color w:val="auto"/>
        </w:rPr>
      </w:pPr>
    </w:p>
    <w:p>
      <w:pPr>
        <w:jc w:val="both"/>
        <w:ind w:left="1440" w:right="1459" w:firstLine="269"/>
        <w:spacing w:after="0" w:line="270" w:lineRule="auto"/>
        <w:rPr>
          <w:sz w:val="20"/>
          <w:szCs w:val="20"/>
          <w:color w:val="auto"/>
        </w:rPr>
      </w:pPr>
      <w:r>
        <w:rPr>
          <w:rFonts w:ascii="Times New Roman" w:cs="Times New Roman" w:eastAsia="Times New Roman" w:hAnsi="Times New Roman"/>
          <w:sz w:val="13"/>
          <w:szCs w:val="13"/>
          <w:color w:val="auto"/>
        </w:rPr>
        <w:t>Our board of directors may, in its absolute discretion, decline to register any transfer of any ordinary share that has not been fully paid up or is subject to a company lien. Our board of directors may also decline to register any transfer of any ordinary share unless:</w:t>
      </w:r>
    </w:p>
    <w:p>
      <w:pPr>
        <w:spacing w:after="0" w:line="41" w:lineRule="exact"/>
        <w:rPr>
          <w:sz w:val="20"/>
          <w:szCs w:val="20"/>
          <w:color w:val="auto"/>
        </w:rPr>
      </w:pPr>
    </w:p>
    <w:p>
      <w:pPr>
        <w:jc w:val="both"/>
        <w:ind w:left="1840" w:right="1459" w:hanging="136"/>
        <w:spacing w:after="0" w:line="278" w:lineRule="auto"/>
        <w:tabs>
          <w:tab w:leader="none" w:pos="18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45"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in respect of only one class of ordinary shares;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properly stamped, if required;</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ordinary share transferred is fully paid and free of any lien in favor of us;</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fee related to the transfer has been paid to us; and in the case of any transfer to joint holders, the transfer is not to more than four joint holders.</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 w:name="page13"/>
    <w:bookmarkEnd w:id="12"/>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Winding Up</w:t>
      </w:r>
    </w:p>
    <w:p>
      <w:pPr>
        <w:spacing w:after="0" w:line="127"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such assets will be distributed so that, as nearly as may be, the losses are borne by our shareholders in proportion to the par value of the shares held by them.</w:t>
      </w:r>
    </w:p>
    <w:p>
      <w:pPr>
        <w:spacing w:after="0" w:line="240" w:lineRule="exact"/>
        <w:rPr>
          <w:sz w:val="20"/>
          <w:szCs w:val="20"/>
          <w:color w:val="auto"/>
        </w:rPr>
      </w:pPr>
    </w:p>
    <w:p>
      <w:pPr>
        <w:jc w:val="both"/>
        <w:ind w:left="1440" w:right="1459" w:firstLine="269"/>
        <w:spacing w:after="0" w:line="262" w:lineRule="auto"/>
        <w:rPr>
          <w:sz w:val="20"/>
          <w:szCs w:val="20"/>
          <w:color w:val="auto"/>
        </w:rPr>
      </w:pPr>
      <w:r>
        <w:rPr>
          <w:rFonts w:ascii="Times New Roman" w:cs="Times New Roman" w:eastAsia="Times New Roman" w:hAnsi="Times New Roman"/>
          <w:sz w:val="13"/>
          <w:szCs w:val="13"/>
          <w:color w:val="auto"/>
        </w:rPr>
        <w:t>The liquidator may, with the sanction of a special resolution of our shareholders, divide amongst the shareholders in species or in kind the whole or any part of the assets of our company, and may for such purpose set such value as the liquidator deems fair upon any property to be divided as aforesaid and may determine how the division shall be carried out as between our shareholders or different classes of shareholders.</w:t>
      </w:r>
    </w:p>
    <w:p>
      <w:pPr>
        <w:spacing w:after="0" w:line="236" w:lineRule="exact"/>
        <w:rPr>
          <w:sz w:val="20"/>
          <w:szCs w:val="20"/>
          <w:color w:val="auto"/>
        </w:rPr>
      </w:pPr>
    </w:p>
    <w:p>
      <w:pPr>
        <w:jc w:val="both"/>
        <w:ind w:left="1440" w:right="1459" w:firstLine="269"/>
        <w:spacing w:after="0" w:line="261" w:lineRule="auto"/>
        <w:rPr>
          <w:sz w:val="20"/>
          <w:szCs w:val="20"/>
          <w:color w:val="auto"/>
        </w:rPr>
      </w:pPr>
      <w:r>
        <w:rPr>
          <w:rFonts w:ascii="Times New Roman" w:cs="Times New Roman" w:eastAsia="Times New Roman" w:hAnsi="Times New Roman"/>
          <w:sz w:val="13"/>
          <w:szCs w:val="13"/>
          <w:color w:val="auto"/>
        </w:rPr>
        <w:t>We are an exempted company with limited liability incorporated under the Cayman Companies Act, and under the Cayman Companies Act, the liability of our shareholders is limited to the amount, if any, unpaid on the shares respectively held by them. Our memorandum of association contains a declaration that the liability of our members is so limited.</w:t>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Redemption, Repurchase and Surrender of Ordinary Shares</w:t>
      </w:r>
    </w:p>
    <w:p>
      <w:pPr>
        <w:spacing w:after="0" w:line="127" w:lineRule="exact"/>
        <w:rPr>
          <w:sz w:val="20"/>
          <w:szCs w:val="20"/>
          <w:color w:val="auto"/>
        </w:rPr>
      </w:pPr>
    </w:p>
    <w:p>
      <w:pPr>
        <w:jc w:val="both"/>
        <w:ind w:left="1440" w:right="1459" w:firstLine="269"/>
        <w:spacing w:after="0" w:line="250" w:lineRule="auto"/>
        <w:rPr>
          <w:sz w:val="20"/>
          <w:szCs w:val="20"/>
          <w:color w:val="auto"/>
        </w:rPr>
      </w:pPr>
      <w:r>
        <w:rPr>
          <w:rFonts w:ascii="Times New Roman" w:cs="Times New Roman" w:eastAsia="Times New Roman" w:hAnsi="Times New Roman"/>
          <w:sz w:val="13"/>
          <w:szCs w:val="13"/>
          <w:color w:val="auto"/>
        </w:rPr>
        <w:t>We may issue shares on terms that such shares are subject to redemption, at our option or at the option of the holders thereof, on such terms and in such manner as may be determined, before the issue of such shares, by our board of directors or by our shareholders by special resolution. Our company may also repurchase any of our shares (including any redeemable shares) in such manner and terms as been approved by our board of directors or by ordinary resolution of our shareholders, or as otherwise authorized by our articles of association. Under the Cayman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Calls on Ordinary Shares and Forfeiture of Ordinary Shares</w:t>
      </w:r>
    </w:p>
    <w:p>
      <w:pPr>
        <w:spacing w:after="0" w:line="117" w:lineRule="exact"/>
        <w:rPr>
          <w:sz w:val="20"/>
          <w:szCs w:val="20"/>
          <w:color w:val="auto"/>
        </w:rPr>
      </w:pPr>
    </w:p>
    <w:p>
      <w:pPr>
        <w:jc w:val="both"/>
        <w:ind w:left="1440" w:right="1459" w:firstLine="269"/>
        <w:spacing w:after="0" w:line="272" w:lineRule="auto"/>
        <w:rPr>
          <w:sz w:val="20"/>
          <w:szCs w:val="20"/>
          <w:color w:val="auto"/>
        </w:rPr>
      </w:pPr>
      <w:r>
        <w:rPr>
          <w:rFonts w:ascii="Times New Roman" w:cs="Times New Roman" w:eastAsia="Times New Roman" w:hAnsi="Times New Roman"/>
          <w:sz w:val="13"/>
          <w:szCs w:val="13"/>
          <w:color w:val="auto"/>
        </w:rPr>
        <w:t>Our board of directors may from time to time make calls upon shareholders (or any of them) for any amounts unpaid on their ordinary shares in a notice served to such shareholders at least 14 calendar days prior to the specified time and place of payment. The ordinary shares that have been called upon and remain unpaid are subject to forfeiture.</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General Meetings of Shareholders</w:t>
      </w:r>
    </w:p>
    <w:p>
      <w:pPr>
        <w:spacing w:after="0" w:line="127" w:lineRule="exact"/>
        <w:rPr>
          <w:sz w:val="20"/>
          <w:szCs w:val="20"/>
          <w:color w:val="auto"/>
        </w:rPr>
      </w:pPr>
    </w:p>
    <w:p>
      <w:pPr>
        <w:jc w:val="both"/>
        <w:ind w:left="1440" w:right="1439" w:firstLine="269"/>
        <w:spacing w:after="0" w:line="269" w:lineRule="auto"/>
        <w:rPr>
          <w:sz w:val="20"/>
          <w:szCs w:val="20"/>
          <w:color w:val="auto"/>
        </w:rPr>
      </w:pPr>
      <w:r>
        <w:rPr>
          <w:rFonts w:ascii="Times New Roman" w:cs="Times New Roman" w:eastAsia="Times New Roman" w:hAnsi="Times New Roman"/>
          <w:sz w:val="13"/>
          <w:szCs w:val="13"/>
          <w:color w:val="auto"/>
        </w:rPr>
        <w:t>As a Cayman Islands exempted company, we are not obliged by the Cayman Companies Act to call shareholders’ annual general meetings. Our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81" w:lineRule="exact"/>
        <w:rPr>
          <w:sz w:val="20"/>
          <w:szCs w:val="20"/>
          <w:color w:val="auto"/>
        </w:rPr>
      </w:pPr>
    </w:p>
    <w:p>
      <w:pPr>
        <w:jc w:val="both"/>
        <w:ind w:left="1440" w:right="1439" w:firstLine="269"/>
        <w:spacing w:after="0" w:line="269" w:lineRule="auto"/>
        <w:rPr>
          <w:sz w:val="20"/>
          <w:szCs w:val="20"/>
          <w:color w:val="auto"/>
        </w:rPr>
      </w:pPr>
      <w:r>
        <w:rPr>
          <w:rFonts w:ascii="Times New Roman" w:cs="Times New Roman" w:eastAsia="Times New Roman" w:hAnsi="Times New Roman"/>
          <w:sz w:val="13"/>
          <w:szCs w:val="13"/>
          <w:color w:val="auto"/>
        </w:rPr>
        <w:t>Shareholders’ general meetings may be convened by a majority of our board of directors or by our chairman.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total issued voting shares in our company.</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3" w:name="page14"/>
    <w:bookmarkEnd w:id="13"/>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39" w:firstLine="269"/>
        <w:spacing w:after="0" w:line="264" w:lineRule="auto"/>
        <w:rPr>
          <w:sz w:val="20"/>
          <w:szCs w:val="20"/>
          <w:color w:val="auto"/>
        </w:rPr>
      </w:pPr>
      <w:r>
        <w:rPr>
          <w:rFonts w:ascii="Times New Roman" w:cs="Times New Roman" w:eastAsia="Times New Roman" w:hAnsi="Times New Roman"/>
          <w:sz w:val="13"/>
          <w:szCs w:val="13"/>
          <w:color w:val="auto"/>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articles of association do not provide our shareholders with any right to put any proposals before annual general meetings or extraordinary general meetings not called by such shareholders.</w:t>
      </w:r>
    </w:p>
    <w:p>
      <w:pPr>
        <w:spacing w:after="0" w:line="1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Proceedings of Board of Directors</w:t>
      </w:r>
    </w:p>
    <w:p>
      <w:pPr>
        <w:spacing w:after="0" w:line="127" w:lineRule="exact"/>
        <w:rPr>
          <w:sz w:val="20"/>
          <w:szCs w:val="20"/>
          <w:color w:val="auto"/>
        </w:rPr>
      </w:pPr>
    </w:p>
    <w:p>
      <w:pPr>
        <w:jc w:val="both"/>
        <w:ind w:left="1440" w:right="1459" w:firstLine="269"/>
        <w:spacing w:after="0" w:line="272" w:lineRule="auto"/>
        <w:rPr>
          <w:sz w:val="20"/>
          <w:szCs w:val="20"/>
          <w:color w:val="auto"/>
        </w:rPr>
      </w:pPr>
      <w:r>
        <w:rPr>
          <w:rFonts w:ascii="Times New Roman" w:cs="Times New Roman" w:eastAsia="Times New Roman" w:hAnsi="Times New Roman"/>
          <w:sz w:val="13"/>
          <w:szCs w:val="13"/>
          <w:color w:val="auto"/>
        </w:rPr>
        <w:t>Our articles of association provide that subject to the Cayman Companies Act, our articles of association and to any resolutions passed in a general meeting of our company, our business is to be managed and conducted by our board of directors. The quorum necessary for board meetings may be fixed by the board and, unless so fixed at another number, will be a majority of the directors.</w:t>
      </w:r>
    </w:p>
    <w:p>
      <w:pPr>
        <w:spacing w:after="0" w:line="79" w:lineRule="exact"/>
        <w:rPr>
          <w:sz w:val="20"/>
          <w:szCs w:val="20"/>
          <w:color w:val="auto"/>
        </w:rPr>
      </w:pPr>
    </w:p>
    <w:p>
      <w:pPr>
        <w:jc w:val="both"/>
        <w:ind w:left="1440" w:right="1439" w:firstLine="269"/>
        <w:spacing w:after="0" w:line="269" w:lineRule="auto"/>
        <w:rPr>
          <w:sz w:val="20"/>
          <w:szCs w:val="20"/>
          <w:color w:val="auto"/>
        </w:rPr>
      </w:pPr>
      <w:r>
        <w:rPr>
          <w:rFonts w:ascii="Times New Roman" w:cs="Times New Roman" w:eastAsia="Times New Roman" w:hAnsi="Times New Roman"/>
          <w:sz w:val="13"/>
          <w:szCs w:val="13"/>
          <w:color w:val="auto"/>
        </w:rPr>
        <w:t>Our articles of association provide that the board may from time to time at its discretion exercise all powers of our company to raise capital or borrow money, to mortgage or charge all or any part of the undertaking, property and assets (present and future) and uncalled capital of our company and issue debentures, bonds and other securities of our company, whether outright or as collateral security for any debt, liability or obligation of our company or of any third party.</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Changes in Capital</w:t>
      </w:r>
    </w:p>
    <w:p>
      <w:pPr>
        <w:spacing w:after="0" w:line="1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Our shareholders may from time to time by ordinary resolution:</w:t>
      </w:r>
    </w:p>
    <w:p>
      <w:pPr>
        <w:spacing w:after="0" w:line="93" w:lineRule="exact"/>
        <w:rPr>
          <w:sz w:val="20"/>
          <w:szCs w:val="20"/>
          <w:color w:val="auto"/>
        </w:rPr>
      </w:pPr>
    </w:p>
    <w:p>
      <w:pPr>
        <w:ind w:left="1840" w:right="1459" w:hanging="136"/>
        <w:spacing w:after="0" w:line="298" w:lineRule="auto"/>
        <w:tabs>
          <w:tab w:leader="none" w:pos="18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our share capital by such sum, to be divided into shares of such classes and amount, as the resolution shall prescribe;</w:t>
      </w:r>
    </w:p>
    <w:p>
      <w:pPr>
        <w:spacing w:after="0" w:line="42" w:lineRule="exact"/>
        <w:rPr>
          <w:rFonts w:ascii="Times New Roman" w:cs="Times New Roman" w:eastAsia="Times New Roman" w:hAnsi="Times New Roman"/>
          <w:sz w:val="13"/>
          <w:szCs w:val="13"/>
          <w:color w:val="auto"/>
        </w:rPr>
      </w:pPr>
    </w:p>
    <w:p>
      <w:pPr>
        <w:ind w:left="1840" w:right="1459" w:hanging="136"/>
        <w:spacing w:after="0" w:line="269" w:lineRule="auto"/>
        <w:tabs>
          <w:tab w:leader="none" w:pos="18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 and divide all or any of our share capital into shares of a larger amount than our existing shares;</w:t>
      </w:r>
    </w:p>
    <w:p>
      <w:pPr>
        <w:spacing w:after="0" w:line="236"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sub-divide our existing shares, or any of them, into shares of a smaller amount; or</w:t>
      </w:r>
    </w:p>
    <w:p>
      <w:pPr>
        <w:spacing w:after="0" w:line="92" w:lineRule="exact"/>
        <w:rPr>
          <w:rFonts w:ascii="Times New Roman" w:cs="Times New Roman" w:eastAsia="Times New Roman" w:hAnsi="Times New Roman"/>
          <w:sz w:val="13"/>
          <w:szCs w:val="13"/>
          <w:color w:val="auto"/>
        </w:rPr>
      </w:pPr>
    </w:p>
    <w:p>
      <w:pPr>
        <w:jc w:val="both"/>
        <w:ind w:left="1840" w:right="1439" w:hanging="136"/>
        <w:spacing w:after="0" w:line="291" w:lineRule="auto"/>
        <w:tabs>
          <w:tab w:leader="none" w:pos="18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any shares which, at the date of the passing of the resolution, have not been taken or agreed to be taken by any person and diminish the amount of our share capital by the amount of the shares so canceled.</w:t>
      </w:r>
    </w:p>
    <w:p>
      <w:pPr>
        <w:spacing w:after="0" w:line="223"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Inspection of Books and Records</w:t>
      </w:r>
    </w:p>
    <w:p>
      <w:pPr>
        <w:spacing w:after="0" w:line="127" w:lineRule="exact"/>
        <w:rPr>
          <w:sz w:val="20"/>
          <w:szCs w:val="20"/>
          <w:color w:val="auto"/>
        </w:rPr>
      </w:pPr>
    </w:p>
    <w:p>
      <w:pPr>
        <w:jc w:val="both"/>
        <w:ind w:left="1440" w:right="1459" w:firstLine="269"/>
        <w:spacing w:after="0" w:line="267" w:lineRule="auto"/>
        <w:rPr>
          <w:sz w:val="20"/>
          <w:szCs w:val="20"/>
          <w:color w:val="auto"/>
        </w:rPr>
      </w:pPr>
      <w:r>
        <w:rPr>
          <w:rFonts w:ascii="Times New Roman" w:cs="Times New Roman" w:eastAsia="Times New Roman" w:hAnsi="Times New Roman"/>
          <w:sz w:val="13"/>
          <w:szCs w:val="13"/>
          <w:color w:val="auto"/>
        </w:rPr>
        <w:t>Holders of our ordinary shares will have no general right under the Cayman Companies Act to inspect or obtain copies of our list of shareholders or our corporate records (except for our memorandum and articles of association, special resolutions of our shareholders and our register of mortgages and charges). Under Cayman Islands law, the names of our current directors can be obtained from a search conducted at the Registrar of Companies in the Cayman Islands. However, we will provide our shareholders with annual audited financial statements. See “Where You Can Find More Information.”</w:t>
      </w:r>
    </w:p>
    <w:p>
      <w:pPr>
        <w:spacing w:after="0" w:line="1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Exempted Company</w:t>
      </w:r>
    </w:p>
    <w:p>
      <w:pPr>
        <w:spacing w:after="0" w:line="127" w:lineRule="exact"/>
        <w:rPr>
          <w:sz w:val="20"/>
          <w:szCs w:val="20"/>
          <w:color w:val="auto"/>
        </w:rPr>
      </w:pPr>
    </w:p>
    <w:p>
      <w:pPr>
        <w:jc w:val="both"/>
        <w:ind w:left="1440" w:right="1459" w:firstLine="269"/>
        <w:spacing w:after="0" w:line="268" w:lineRule="auto"/>
        <w:rPr>
          <w:sz w:val="20"/>
          <w:szCs w:val="20"/>
          <w:color w:val="auto"/>
        </w:rPr>
      </w:pPr>
      <w:r>
        <w:rPr>
          <w:rFonts w:ascii="Times New Roman" w:cs="Times New Roman" w:eastAsia="Times New Roman" w:hAnsi="Times New Roman"/>
          <w:sz w:val="13"/>
          <w:szCs w:val="13"/>
          <w:color w:val="auto"/>
        </w:rPr>
        <w:t>We are an exempted company with limited liability duly incorporated and validly existing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4" w:name="page15"/>
    <w:bookmarkEnd w:id="14"/>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40" w:right="1459" w:hanging="136"/>
        <w:spacing w:after="0" w:line="298" w:lineRule="auto"/>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 does not have to file an annual return of its shareholders with the Registrar of Companies of the Cayman Islands;</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company’s register of members is not open to inspection;</w:t>
      </w:r>
    </w:p>
    <w:p>
      <w:pPr>
        <w:spacing w:after="0" w:line="10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 does not have to hold an annual general meeting;</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 may issue no par value shares;</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 may obtain an undertaking against the imposition of any future taxation (such undertakings are given for up to 30 years);</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 may register by way of continuation in another jurisdiction and be deregistered in the Cayman Islands;</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 may register as a limited duration company; and</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exempted company may register as a segregated portfolio company.</w:t>
      </w:r>
    </w:p>
    <w:p>
      <w:pPr>
        <w:spacing w:after="0" w:line="123" w:lineRule="exact"/>
        <w:rPr>
          <w:sz w:val="20"/>
          <w:szCs w:val="20"/>
          <w:color w:val="auto"/>
        </w:rPr>
      </w:pPr>
    </w:p>
    <w:p>
      <w:pPr>
        <w:jc w:val="both"/>
        <w:ind w:left="1440" w:right="1459" w:firstLine="269"/>
        <w:spacing w:after="0" w:line="263" w:lineRule="auto"/>
        <w:rPr>
          <w:sz w:val="20"/>
          <w:szCs w:val="20"/>
          <w:color w:val="auto"/>
        </w:rPr>
      </w:pPr>
      <w:r>
        <w:rPr>
          <w:rFonts w:ascii="Times New Roman" w:cs="Times New Roman" w:eastAsia="Times New Roman" w:hAnsi="Times New Roman"/>
          <w:sz w:val="13"/>
          <w:szCs w:val="13"/>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Upon the closing of this offering, we will be subject to reporting and other informational requirements of the Exchange Act, as applicable to foreign private issuers. We may follow the home country practice for certain corporate governance practices after the closing of this offering which may differ from the Nasdaq Stock Market Rules. The Nasdaq Stock Market Rules require that every company listed on the Nasdaq Global Market hold an annual general meeting of shareholders. In addition, our articles of association allow our directors to call extraordinary general meetings of our shareholders pursuant to the procedures set forth in our articles of association.</w:t>
      </w:r>
    </w:p>
    <w:p>
      <w:pPr>
        <w:spacing w:after="0" w:line="2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Differences in Corporate Law</w:t>
      </w:r>
    </w:p>
    <w:p>
      <w:pPr>
        <w:spacing w:after="0" w:line="117" w:lineRule="exact"/>
        <w:rPr>
          <w:sz w:val="20"/>
          <w:szCs w:val="20"/>
          <w:color w:val="auto"/>
        </w:rPr>
      </w:pPr>
    </w:p>
    <w:p>
      <w:pPr>
        <w:jc w:val="both"/>
        <w:ind w:left="1440" w:right="1459" w:firstLine="269"/>
        <w:spacing w:after="0" w:line="267" w:lineRule="auto"/>
        <w:rPr>
          <w:sz w:val="20"/>
          <w:szCs w:val="20"/>
          <w:color w:val="auto"/>
        </w:rPr>
      </w:pPr>
      <w:r>
        <w:rPr>
          <w:rFonts w:ascii="Times New Roman" w:cs="Times New Roman" w:eastAsia="Times New Roman" w:hAnsi="Times New Roman"/>
          <w:sz w:val="13"/>
          <w:szCs w:val="13"/>
          <w:color w:val="auto"/>
        </w:rPr>
        <w:t>The Cayman Companies Act is derived, to a large extent, from the older Companies Acts of England, but does not follow recent statutory enactments in England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laws applicable to companies incorporated in the State of Delaware.</w:t>
      </w:r>
    </w:p>
    <w:p>
      <w:pPr>
        <w:spacing w:after="0" w:line="1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Mergers and Similar Arrangements</w:t>
      </w:r>
    </w:p>
    <w:p>
      <w:pPr>
        <w:spacing w:after="0" w:line="127" w:lineRule="exact"/>
        <w:rPr>
          <w:sz w:val="20"/>
          <w:szCs w:val="20"/>
          <w:color w:val="auto"/>
        </w:rPr>
      </w:pPr>
    </w:p>
    <w:p>
      <w:pPr>
        <w:jc w:val="both"/>
        <w:ind w:left="1440" w:right="1439" w:firstLine="269"/>
        <w:spacing w:after="0" w:line="262" w:lineRule="auto"/>
        <w:rPr>
          <w:sz w:val="20"/>
          <w:szCs w:val="20"/>
          <w:color w:val="auto"/>
        </w:rPr>
      </w:pPr>
      <w:r>
        <w:rPr>
          <w:rFonts w:ascii="Times New Roman" w:cs="Times New Roman" w:eastAsia="Times New Roman" w:hAnsi="Times New Roman"/>
          <w:sz w:val="13"/>
          <w:szCs w:val="13"/>
          <w:color w:val="auto"/>
        </w:rPr>
        <w:t>The Cayman Companies Act permits mergers and consolidations between the Cayman Islands companies and between the Cayman Islands companies and the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48" w:lineRule="exact"/>
        <w:rPr>
          <w:sz w:val="20"/>
          <w:szCs w:val="20"/>
          <w:color w:val="auto"/>
        </w:rPr>
      </w:pPr>
    </w:p>
    <w:p>
      <w:pPr>
        <w:jc w:val="both"/>
        <w:ind w:left="1440" w:right="1459" w:firstLine="269"/>
        <w:spacing w:after="0" w:line="291" w:lineRule="auto"/>
        <w:rPr>
          <w:sz w:val="20"/>
          <w:szCs w:val="20"/>
          <w:color w:val="auto"/>
        </w:rPr>
      </w:pPr>
      <w:r>
        <w:rPr>
          <w:rFonts w:ascii="Times New Roman" w:cs="Times New Roman" w:eastAsia="Times New Roman" w:hAnsi="Times New Roman"/>
          <w:sz w:val="13"/>
          <w:szCs w:val="13"/>
          <w:color w:val="auto"/>
        </w:rPr>
        <w:t>A merger between a Cayman parent company and its Cayman subsidiary or subsidiaries does not require authorization by a resolution of shareholders of that Cayman subsidiary if a copy of the plan of merger is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5" w:name="page16"/>
    <w:bookmarkEnd w:id="15"/>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78" w:lineRule="auto"/>
        <w:rPr>
          <w:sz w:val="20"/>
          <w:szCs w:val="20"/>
          <w:color w:val="auto"/>
        </w:rPr>
      </w:pPr>
      <w:r>
        <w:rPr>
          <w:rFonts w:ascii="Times New Roman" w:cs="Times New Roman" w:eastAsia="Times New Roman" w:hAnsi="Times New Roman"/>
          <w:sz w:val="13"/>
          <w:szCs w:val="13"/>
          <w:color w:val="auto"/>
        </w:rPr>
        <w:t>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76"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The consent of each holder of a fixed or floating security interest of a constituent company is required unless this requirement is waived by a court in the Cayman Islands.</w:t>
      </w:r>
    </w:p>
    <w:p>
      <w:pPr>
        <w:spacing w:after="0" w:line="63" w:lineRule="exact"/>
        <w:rPr>
          <w:sz w:val="20"/>
          <w:szCs w:val="20"/>
          <w:color w:val="auto"/>
        </w:rPr>
      </w:pPr>
    </w:p>
    <w:p>
      <w:pPr>
        <w:jc w:val="both"/>
        <w:ind w:left="1440" w:right="1459" w:firstLine="269"/>
        <w:spacing w:after="0" w:line="265" w:lineRule="auto"/>
        <w:rPr>
          <w:sz w:val="20"/>
          <w:szCs w:val="20"/>
          <w:color w:val="auto"/>
        </w:rPr>
      </w:pPr>
      <w:r>
        <w:rPr>
          <w:rFonts w:ascii="Times New Roman" w:cs="Times New Roman" w:eastAsia="Times New Roman" w:hAnsi="Times New Roman"/>
          <w:sz w:val="13"/>
          <w:szCs w:val="13"/>
          <w:color w:val="auto"/>
        </w:rPr>
        <w:t>Except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spacing w:after="0" w:line="238" w:lineRule="exact"/>
        <w:rPr>
          <w:sz w:val="20"/>
          <w:szCs w:val="20"/>
          <w:color w:val="auto"/>
        </w:rPr>
      </w:pPr>
    </w:p>
    <w:p>
      <w:pPr>
        <w:jc w:val="both"/>
        <w:ind w:left="1440" w:right="1459" w:firstLine="269"/>
        <w:spacing w:after="0" w:line="263" w:lineRule="auto"/>
        <w:rPr>
          <w:sz w:val="20"/>
          <w:szCs w:val="20"/>
          <w:color w:val="auto"/>
        </w:rPr>
      </w:pPr>
      <w:r>
        <w:rPr>
          <w:rFonts w:ascii="Times New Roman" w:cs="Times New Roman" w:eastAsia="Times New Roman" w:hAnsi="Times New Roman"/>
          <w:sz w:val="13"/>
          <w:szCs w:val="13"/>
          <w:color w:val="auto"/>
        </w:rPr>
        <w:t>Separate from the statutory provisions relating to mergers and consolidations, the Cayman Companies Act also contain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 or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22" w:lineRule="exact"/>
        <w:rPr>
          <w:sz w:val="20"/>
          <w:szCs w:val="20"/>
          <w:color w:val="auto"/>
        </w:rPr>
      </w:pPr>
    </w:p>
    <w:p>
      <w:pPr>
        <w:ind w:left="1840" w:hanging="136"/>
        <w:spacing w:after="0"/>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statutory provisions as to the required majority vote have been met;</w:t>
      </w:r>
    </w:p>
    <w:p>
      <w:pPr>
        <w:spacing w:after="0" w:line="102" w:lineRule="exact"/>
        <w:rPr>
          <w:rFonts w:ascii="Times New Roman" w:cs="Times New Roman" w:eastAsia="Times New Roman" w:hAnsi="Times New Roman"/>
          <w:sz w:val="13"/>
          <w:szCs w:val="13"/>
          <w:color w:val="auto"/>
        </w:rPr>
      </w:pPr>
    </w:p>
    <w:p>
      <w:pPr>
        <w:jc w:val="both"/>
        <w:ind w:left="1840" w:right="1439" w:hanging="136"/>
        <w:spacing w:after="0" w:line="291" w:lineRule="auto"/>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shareholders have been fairly represented at the meeting in question and the statutory majority are acting bona fide without coercion of the minority to promote interests adverse to those of the class;</w:t>
      </w:r>
    </w:p>
    <w:p>
      <w:pPr>
        <w:spacing w:after="0" w:line="202" w:lineRule="exact"/>
        <w:rPr>
          <w:rFonts w:ascii="Times New Roman" w:cs="Times New Roman" w:eastAsia="Times New Roman" w:hAnsi="Times New Roman"/>
          <w:sz w:val="13"/>
          <w:szCs w:val="13"/>
          <w:color w:val="auto"/>
        </w:rPr>
      </w:pPr>
    </w:p>
    <w:p>
      <w:pPr>
        <w:ind w:left="1840" w:right="1439" w:hanging="136"/>
        <w:spacing w:after="0" w:line="298" w:lineRule="auto"/>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such that may be reasonably approved by an intelligent and honest man of that class acting in respect of his interest; and</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not one that would more properly be sanctioned under some other provision of the Cayman Companies Act.</w:t>
      </w:r>
    </w:p>
    <w:p>
      <w:pPr>
        <w:spacing w:after="0" w:line="53" w:lineRule="exact"/>
        <w:rPr>
          <w:sz w:val="20"/>
          <w:szCs w:val="20"/>
          <w:color w:val="auto"/>
        </w:rPr>
      </w:pPr>
    </w:p>
    <w:p>
      <w:pPr>
        <w:jc w:val="both"/>
        <w:ind w:left="1440" w:right="1459" w:firstLine="269"/>
        <w:spacing w:after="0" w:line="265" w:lineRule="auto"/>
        <w:rPr>
          <w:sz w:val="20"/>
          <w:szCs w:val="20"/>
          <w:color w:val="auto"/>
        </w:rPr>
      </w:pPr>
      <w:r>
        <w:rPr>
          <w:rFonts w:ascii="Times New Roman" w:cs="Times New Roman" w:eastAsia="Times New Roman" w:hAnsi="Times New Roman"/>
          <w:sz w:val="13"/>
          <w:szCs w:val="13"/>
          <w:color w:val="auto"/>
        </w:rPr>
        <w:t>The Cayman Companies Act also contains a statutory power of compulsory acquisition which may facilitate the “squeeze out” of dissenting minority shareholder upon a tender offer. When a tender offer is made and accepted by holders of 90% of the shares affected within four months of the offer being made,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86" w:lineRule="exact"/>
        <w:rPr>
          <w:sz w:val="20"/>
          <w:szCs w:val="20"/>
          <w:color w:val="auto"/>
        </w:rPr>
      </w:pPr>
    </w:p>
    <w:p>
      <w:pPr>
        <w:jc w:val="both"/>
        <w:ind w:left="1440" w:right="1439" w:firstLine="269"/>
        <w:spacing w:after="0" w:line="266" w:lineRule="auto"/>
        <w:rPr>
          <w:sz w:val="20"/>
          <w:szCs w:val="20"/>
          <w:color w:val="auto"/>
        </w:rPr>
      </w:pPr>
      <w:r>
        <w:rPr>
          <w:rFonts w:ascii="Times New Roman" w:cs="Times New Roman" w:eastAsia="Times New Roman" w:hAnsi="Times New Roman"/>
          <w:sz w:val="13"/>
          <w:szCs w:val="13"/>
          <w:color w:val="auto"/>
        </w:rPr>
        <w:t>If an arrangement and reconstruction by the way of scheme of arrangement is thus approved,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Shareholders’ Suits</w:t>
      </w:r>
    </w:p>
    <w:p>
      <w:pPr>
        <w:spacing w:after="0" w:line="127" w:lineRule="exact"/>
        <w:rPr>
          <w:sz w:val="20"/>
          <w:szCs w:val="20"/>
          <w:color w:val="auto"/>
        </w:rPr>
      </w:pPr>
    </w:p>
    <w:p>
      <w:pPr>
        <w:jc w:val="both"/>
        <w:ind w:left="1440" w:right="1459" w:firstLine="269"/>
        <w:spacing w:after="0" w:line="272" w:lineRule="auto"/>
        <w:rPr>
          <w:sz w:val="20"/>
          <w:szCs w:val="20"/>
          <w:color w:val="auto"/>
        </w:rPr>
      </w:pPr>
      <w:r>
        <w:rPr>
          <w:rFonts w:ascii="Times New Roman" w:cs="Times New Roman" w:eastAsia="Times New Roman" w:hAnsi="Times New Roman"/>
          <w:sz w:val="13"/>
          <w:szCs w:val="13"/>
          <w:color w:val="auto"/>
        </w:rPr>
        <w:t xml:space="preserve">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3"/>
          <w:szCs w:val="13"/>
          <w:i w:val="1"/>
          <w:iCs w:val="1"/>
          <w:color w:val="auto"/>
        </w:rPr>
        <w:t>Foss v.</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6" w:name="page17"/>
    <w:bookmarkEnd w:id="16"/>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40" w:right="1459"/>
        <w:spacing w:after="0" w:line="301" w:lineRule="auto"/>
        <w:rPr>
          <w:sz w:val="20"/>
          <w:szCs w:val="20"/>
          <w:color w:val="auto"/>
        </w:rPr>
      </w:pPr>
      <w:r>
        <w:rPr>
          <w:rFonts w:ascii="Times New Roman" w:cs="Times New Roman" w:eastAsia="Times New Roman" w:hAnsi="Times New Roman"/>
          <w:sz w:val="13"/>
          <w:szCs w:val="13"/>
          <w:i w:val="1"/>
          <w:iCs w:val="1"/>
          <w:color w:val="auto"/>
        </w:rPr>
        <w:t xml:space="preserve">Harbottle </w:t>
      </w:r>
      <w:r>
        <w:rPr>
          <w:rFonts w:ascii="Times New Roman" w:cs="Times New Roman" w:eastAsia="Times New Roman" w:hAnsi="Times New Roman"/>
          <w:sz w:val="13"/>
          <w:szCs w:val="13"/>
          <w:color w:val="auto"/>
        </w:rPr>
        <w:t>and the exceptions thereto) so that a non-controlling shareholder may be permitted to commence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class action against or derivative actions in the name of the company to challenge:</w:t>
      </w:r>
    </w:p>
    <w:p>
      <w:pPr>
        <w:spacing w:after="0" w:line="21" w:lineRule="exact"/>
        <w:rPr>
          <w:sz w:val="20"/>
          <w:szCs w:val="20"/>
          <w:color w:val="auto"/>
        </w:rPr>
      </w:pPr>
    </w:p>
    <w:p>
      <w:pPr>
        <w:ind w:left="1840" w:right="1459" w:hanging="136"/>
        <w:spacing w:after="0" w:line="298" w:lineRule="auto"/>
        <w:tabs>
          <w:tab w:leader="none" w:pos="18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 which is illegal or ultra vires with respect to the company and is therefore incapable of ratification by the shareholders;</w:t>
      </w:r>
    </w:p>
    <w:p>
      <w:pPr>
        <w:spacing w:after="0" w:line="2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 which, although not ultra vires, requires authorization by a qualified (or special) majority (that is, more than a simple majority) which has not been obtained; and</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 which constitutes a “fraud on the minority” where the wrongdoers are themselves in control of the company.</w:t>
      </w:r>
    </w:p>
    <w:p>
      <w:pPr>
        <w:spacing w:after="0" w:line="10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of Directors and Executive Officers and Limitation of Liability</w:t>
      </w:r>
    </w:p>
    <w:p>
      <w:pPr>
        <w:spacing w:after="0" w:line="127" w:lineRule="exact"/>
        <w:rPr>
          <w:sz w:val="20"/>
          <w:szCs w:val="20"/>
          <w:color w:val="auto"/>
        </w:rPr>
      </w:pPr>
    </w:p>
    <w:p>
      <w:pPr>
        <w:jc w:val="both"/>
        <w:ind w:left="1440" w:right="1459" w:firstLine="269"/>
        <w:spacing w:after="0" w:line="250" w:lineRule="auto"/>
        <w:rPr>
          <w:sz w:val="20"/>
          <w:szCs w:val="20"/>
          <w:color w:val="auto"/>
        </w:rPr>
      </w:pPr>
      <w:r>
        <w:rPr>
          <w:rFonts w:ascii="Times New Roman" w:cs="Times New Roman" w:eastAsia="Times New Roman" w:hAnsi="Times New Roman"/>
          <w:sz w:val="13"/>
          <w:szCs w:val="13"/>
          <w:color w:val="auto"/>
        </w:rPr>
        <w:t>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243"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Anti-Takeover Provisions in Our Articles</w:t>
      </w:r>
    </w:p>
    <w:p>
      <w:pPr>
        <w:spacing w:after="0" w:line="117" w:lineRule="exact"/>
        <w:rPr>
          <w:sz w:val="20"/>
          <w:szCs w:val="20"/>
          <w:color w:val="auto"/>
        </w:rPr>
      </w:pPr>
    </w:p>
    <w:p>
      <w:pPr>
        <w:jc w:val="both"/>
        <w:ind w:left="1440" w:right="1459" w:firstLine="269"/>
        <w:spacing w:after="0" w:line="262" w:lineRule="auto"/>
        <w:rPr>
          <w:sz w:val="20"/>
          <w:szCs w:val="20"/>
          <w:color w:val="auto"/>
        </w:rPr>
      </w:pPr>
      <w:r>
        <w:rPr>
          <w:rFonts w:ascii="Times New Roman" w:cs="Times New Roman" w:eastAsia="Times New Roman" w:hAnsi="Times New Roman"/>
          <w:sz w:val="13"/>
          <w:szCs w:val="13"/>
          <w:color w:val="auto"/>
        </w:rPr>
        <w:t>Some provisions of our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236" w:lineRule="exact"/>
        <w:rPr>
          <w:sz w:val="20"/>
          <w:szCs w:val="20"/>
          <w:color w:val="auto"/>
        </w:rPr>
      </w:pPr>
    </w:p>
    <w:p>
      <w:pPr>
        <w:jc w:val="both"/>
        <w:ind w:left="1440" w:right="1459" w:firstLine="269"/>
        <w:spacing w:after="0" w:line="262" w:lineRule="auto"/>
        <w:rPr>
          <w:sz w:val="20"/>
          <w:szCs w:val="20"/>
          <w:color w:val="auto"/>
        </w:rPr>
      </w:pPr>
      <w:r>
        <w:rPr>
          <w:rFonts w:ascii="Times New Roman" w:cs="Times New Roman" w:eastAsia="Times New Roman" w:hAnsi="Times New Roman"/>
          <w:sz w:val="13"/>
          <w:szCs w:val="13"/>
          <w:color w:val="auto"/>
        </w:rPr>
        <w:t>However, under the Cayman Islands law, our directors may only exercise the rights and powers granted to them under our articles of association, as amended and restated from time to time, for a proper purpose and in what they believe in good faith to be in the best interests of our company.</w:t>
      </w:r>
    </w:p>
    <w:p>
      <w:pPr>
        <w:spacing w:after="0" w:line="1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Directors’ Fiduciary Duties</w:t>
      </w:r>
    </w:p>
    <w:p>
      <w:pPr>
        <w:spacing w:after="0" w:line="117"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Under Delaware corporate law, a director of a Delaware corporation has a fiduciary duty to the corporation and its shareholders. This duty has two components: the duty of care and the duty of loyalty. The duty of care requires that a director acts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7" w:name="page18"/>
    <w:bookmarkEnd w:id="17"/>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61" w:lineRule="auto"/>
        <w:rPr>
          <w:sz w:val="20"/>
          <w:szCs w:val="20"/>
          <w:color w:val="auto"/>
        </w:rPr>
      </w:pPr>
      <w:r>
        <w:rPr>
          <w:rFonts w:ascii="Times New Roman" w:cs="Times New Roman" w:eastAsia="Times New Roman" w:hAnsi="Times New Roman"/>
          <w:sz w:val="13"/>
          <w:szCs w:val="13"/>
          <w:color w:val="auto"/>
        </w:rPr>
        <w:t>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77" w:lineRule="exact"/>
        <w:rPr>
          <w:sz w:val="20"/>
          <w:szCs w:val="20"/>
          <w:color w:val="auto"/>
        </w:rPr>
      </w:pPr>
    </w:p>
    <w:p>
      <w:pPr>
        <w:jc w:val="both"/>
        <w:ind w:left="1440" w:right="1439" w:firstLine="269"/>
        <w:spacing w:after="0" w:line="253" w:lineRule="auto"/>
        <w:rPr>
          <w:sz w:val="20"/>
          <w:szCs w:val="20"/>
          <w:color w:val="auto"/>
        </w:rPr>
      </w:pPr>
      <w:r>
        <w:rPr>
          <w:rFonts w:ascii="Times New Roman" w:cs="Times New Roman" w:eastAsia="Times New Roman" w:hAnsi="Times New Roman"/>
          <w:sz w:val="13"/>
          <w:szCs w:val="13"/>
          <w:color w:val="auto"/>
        </w:rPr>
        <w:t>As a matter of Cayman Islands law, a director of a Cayman Islands company is in the position of a fiduciary with respect to the company and therefore it is considered that he owes the following duties to the company — a duty to act bona fide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2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Shareholder Proposals</w:t>
      </w:r>
    </w:p>
    <w:p>
      <w:pPr>
        <w:spacing w:after="0" w:line="127"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240" w:lineRule="exact"/>
        <w:rPr>
          <w:sz w:val="20"/>
          <w:szCs w:val="20"/>
          <w:color w:val="auto"/>
        </w:rPr>
      </w:pPr>
    </w:p>
    <w:p>
      <w:pPr>
        <w:jc w:val="both"/>
        <w:ind w:left="1440" w:right="1439" w:firstLine="269"/>
        <w:spacing w:after="0" w:line="253" w:lineRule="auto"/>
        <w:rPr>
          <w:sz w:val="20"/>
          <w:szCs w:val="20"/>
          <w:color w:val="auto"/>
        </w:rPr>
      </w:pPr>
      <w:r>
        <w:rPr>
          <w:rFonts w:ascii="Times New Roman" w:cs="Times New Roman" w:eastAsia="Times New Roman" w:hAnsi="Times New Roman"/>
          <w:sz w:val="13"/>
          <w:szCs w:val="13"/>
          <w:color w:val="auto"/>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allow our shareholders holding in aggregate not less than one-third of the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Our articles of association provide no other right to put any proposals before annual general meetings or extraordinary general meetings. As a Cayman Islands exempted company, we are not obligated by law to call shareholders’ annual general meetings.</w:t>
      </w:r>
    </w:p>
    <w:p>
      <w:pPr>
        <w:spacing w:after="0" w:line="2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Cumulative Voting</w:t>
      </w:r>
    </w:p>
    <w:p>
      <w:pPr>
        <w:spacing w:after="0" w:line="127"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 Cayman Islands law does not prohibit cumulative voting, but our articles of association do not provide for cumulative voting. As a result, our shareholders are not afforded any fewer protections or rights on this issue than shareholders of a Delaware corporation.</w:t>
      </w:r>
    </w:p>
    <w:p>
      <w:pPr>
        <w:spacing w:after="0" w:line="2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Removal of Directors</w:t>
      </w:r>
    </w:p>
    <w:p>
      <w:pPr>
        <w:spacing w:after="0" w:line="127" w:lineRule="exact"/>
        <w:rPr>
          <w:sz w:val="20"/>
          <w:szCs w:val="20"/>
          <w:color w:val="auto"/>
        </w:rPr>
      </w:pPr>
    </w:p>
    <w:p>
      <w:pPr>
        <w:jc w:val="both"/>
        <w:ind w:left="1440" w:right="1439" w:firstLine="269"/>
        <w:spacing w:after="0" w:line="253" w:lineRule="auto"/>
        <w:rPr>
          <w:sz w:val="20"/>
          <w:szCs w:val="20"/>
          <w:color w:val="auto"/>
        </w:rPr>
      </w:pPr>
      <w:r>
        <w:rPr>
          <w:rFonts w:ascii="Times New Roman" w:cs="Times New Roman" w:eastAsia="Times New Roman" w:hAnsi="Times New Roman"/>
          <w:sz w:val="13"/>
          <w:szCs w:val="13"/>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directors may be removed by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8" w:name="page19"/>
    <w:bookmarkEnd w:id="18"/>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69" w:lineRule="auto"/>
        <w:rPr>
          <w:sz w:val="20"/>
          <w:szCs w:val="20"/>
          <w:color w:val="auto"/>
        </w:rPr>
      </w:pPr>
      <w:r>
        <w:rPr>
          <w:rFonts w:ascii="Times New Roman" w:cs="Times New Roman" w:eastAsia="Times New Roman" w:hAnsi="Times New Roman"/>
          <w:sz w:val="13"/>
          <w:szCs w:val="13"/>
          <w:color w:val="auto"/>
        </w:rPr>
        <w:t>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articles of association.</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Transactions with Interested Shareholders</w:t>
      </w:r>
    </w:p>
    <w:p>
      <w:pPr>
        <w:spacing w:after="0" w:line="127" w:lineRule="exact"/>
        <w:rPr>
          <w:sz w:val="20"/>
          <w:szCs w:val="20"/>
          <w:color w:val="auto"/>
        </w:rPr>
      </w:pPr>
    </w:p>
    <w:p>
      <w:pPr>
        <w:jc w:val="both"/>
        <w:ind w:left="1440" w:right="1439" w:firstLine="269"/>
        <w:spacing w:after="0" w:line="262" w:lineRule="auto"/>
        <w:rPr>
          <w:sz w:val="20"/>
          <w:szCs w:val="20"/>
          <w:color w:val="auto"/>
        </w:rPr>
      </w:pPr>
      <w:r>
        <w:rPr>
          <w:rFonts w:ascii="Times New Roman" w:cs="Times New Roman" w:eastAsia="Times New Roman" w:hAnsi="Times New Roman"/>
          <w:sz w:val="13"/>
          <w:szCs w:val="13"/>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51" w:lineRule="exact"/>
        <w:rPr>
          <w:sz w:val="20"/>
          <w:szCs w:val="20"/>
          <w:color w:val="auto"/>
        </w:rPr>
      </w:pPr>
    </w:p>
    <w:p>
      <w:pPr>
        <w:jc w:val="both"/>
        <w:ind w:left="1440" w:right="1459" w:firstLine="269"/>
        <w:spacing w:after="0" w:line="268" w:lineRule="auto"/>
        <w:rPr>
          <w:sz w:val="20"/>
          <w:szCs w:val="20"/>
          <w:color w:val="auto"/>
        </w:rPr>
      </w:pPr>
      <w:r>
        <w:rPr>
          <w:rFonts w:ascii="Times New Roman" w:cs="Times New Roman" w:eastAsia="Times New Roman" w:hAnsi="Times New Roman"/>
          <w:sz w:val="13"/>
          <w:szCs w:val="13"/>
          <w:color w:val="auto"/>
        </w:rPr>
        <w:t>The 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fiduciary duties owed by our directors do require that such transactions must be entered into bona fide in the best interests of the company and for a proper corporate purpose and not with the effect of constituting a fraud on the minority shareholders.</w:t>
      </w:r>
    </w:p>
    <w:p>
      <w:pPr>
        <w:spacing w:after="0" w:line="29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Restructuring.</w:t>
      </w:r>
    </w:p>
    <w:p>
      <w:pPr>
        <w:spacing w:after="0" w:line="117"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A company may present a petition to the Grand Court of the Cayman Islands for the appointment of a restructuring officer on the grounds that the company:</w:t>
      </w:r>
    </w:p>
    <w:p>
      <w:pPr>
        <w:spacing w:after="0" w:line="63" w:lineRule="exact"/>
        <w:rPr>
          <w:sz w:val="20"/>
          <w:szCs w:val="20"/>
          <w:color w:val="auto"/>
        </w:rPr>
      </w:pPr>
    </w:p>
    <w:p>
      <w:pPr>
        <w:ind w:left="1980" w:hanging="276"/>
        <w:spacing w:after="0"/>
        <w:tabs>
          <w:tab w:leader="none" w:pos="19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or is likely to become unable to pay its debts; and</w:t>
      </w:r>
    </w:p>
    <w:p>
      <w:pPr>
        <w:spacing w:after="0" w:line="123" w:lineRule="exact"/>
        <w:rPr>
          <w:rFonts w:ascii="Times New Roman" w:cs="Times New Roman" w:eastAsia="Times New Roman" w:hAnsi="Times New Roman"/>
          <w:sz w:val="13"/>
          <w:szCs w:val="13"/>
          <w:color w:val="auto"/>
        </w:rPr>
      </w:pPr>
    </w:p>
    <w:p>
      <w:pPr>
        <w:ind w:left="1980" w:right="1459" w:hanging="276"/>
        <w:spacing w:after="0" w:line="298" w:lineRule="auto"/>
        <w:tabs>
          <w:tab w:leader="none" w:pos="19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intends to present a compromise or arrangement to its creditors (or classes thereof) either pursuant to the Companies Act, the law of a foreign country or by way of a consensual restructuring.</w:t>
      </w:r>
    </w:p>
    <w:p>
      <w:pPr>
        <w:spacing w:after="0" w:line="63" w:lineRule="exact"/>
        <w:rPr>
          <w:sz w:val="20"/>
          <w:szCs w:val="20"/>
          <w:color w:val="auto"/>
        </w:rPr>
      </w:pPr>
    </w:p>
    <w:p>
      <w:pPr>
        <w:jc w:val="both"/>
        <w:ind w:left="1440" w:right="1439" w:firstLine="269"/>
        <w:spacing w:after="0" w:line="263" w:lineRule="auto"/>
        <w:rPr>
          <w:sz w:val="20"/>
          <w:szCs w:val="20"/>
          <w:color w:val="auto"/>
        </w:rPr>
      </w:pPr>
      <w:r>
        <w:rPr>
          <w:rFonts w:ascii="Times New Roman" w:cs="Times New Roman" w:eastAsia="Times New Roman" w:hAnsi="Times New Roman"/>
          <w:sz w:val="13"/>
          <w:szCs w:val="13"/>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Dissolution; Winding Up</w:t>
      </w:r>
    </w:p>
    <w:p>
      <w:pPr>
        <w:spacing w:after="0" w:line="117" w:lineRule="exact"/>
        <w:rPr>
          <w:sz w:val="20"/>
          <w:szCs w:val="20"/>
          <w:color w:val="auto"/>
        </w:rPr>
      </w:pPr>
    </w:p>
    <w:p>
      <w:pPr>
        <w:jc w:val="both"/>
        <w:ind w:left="1440" w:right="1459" w:firstLine="269"/>
        <w:spacing w:after="0" w:line="271" w:lineRule="auto"/>
        <w:rPr>
          <w:sz w:val="20"/>
          <w:szCs w:val="20"/>
          <w:color w:val="auto"/>
        </w:rPr>
      </w:pPr>
      <w:r>
        <w:rPr>
          <w:rFonts w:ascii="Times New Roman" w:cs="Times New Roman" w:eastAsia="Times New Roman" w:hAnsi="Times New Roman"/>
          <w:sz w:val="13"/>
          <w:szCs w:val="13"/>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9" w:name="page20"/>
    <w:bookmarkEnd w:id="19"/>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98" w:lineRule="auto"/>
        <w:rPr>
          <w:sz w:val="20"/>
          <w:szCs w:val="20"/>
          <w:color w:val="auto"/>
        </w:rPr>
      </w:pPr>
      <w:r>
        <w:rPr>
          <w:rFonts w:ascii="Times New Roman" w:cs="Times New Roman" w:eastAsia="Times New Roman" w:hAnsi="Times New Roman"/>
          <w:sz w:val="13"/>
          <w:szCs w:val="13"/>
          <w:color w:val="auto"/>
        </w:rPr>
        <w:t>certificate of incorporation a supermajority voting requirement in connection with dissolutions initiated by the board of directors.</w:t>
      </w:r>
    </w:p>
    <w:p>
      <w:pPr>
        <w:spacing w:after="0" w:line="53" w:lineRule="exact"/>
        <w:rPr>
          <w:sz w:val="20"/>
          <w:szCs w:val="20"/>
          <w:color w:val="auto"/>
        </w:rPr>
      </w:pPr>
    </w:p>
    <w:p>
      <w:pPr>
        <w:jc w:val="both"/>
        <w:ind w:left="1440" w:right="1459" w:firstLine="269"/>
        <w:spacing w:after="0" w:line="256" w:lineRule="auto"/>
        <w:rPr>
          <w:sz w:val="20"/>
          <w:szCs w:val="20"/>
          <w:color w:val="auto"/>
        </w:rPr>
      </w:pPr>
      <w:r>
        <w:rPr>
          <w:rFonts w:ascii="Times New Roman" w:cs="Times New Roman" w:eastAsia="Times New Roman" w:hAnsi="Times New Roman"/>
          <w:sz w:val="13"/>
          <w:szCs w:val="13"/>
          <w:color w:val="auto"/>
        </w:rPr>
        <w:t>Under the Cayman Companies Act, our company may be wound up by either a special resolution of our shareholders or, if our company is unable to pay its debts as they fall due, by an ordinary resolution of our shareholders. In addition, a company may be wound up by an order of the courts of the Cayman Islands. The court has authority to order winding up in a number of specified circumstances including where it is, in the opinion of the court, just and equitable to do so.</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Variation of Rights of Shares</w:t>
      </w:r>
    </w:p>
    <w:p>
      <w:pPr>
        <w:spacing w:after="0" w:line="127" w:lineRule="exact"/>
        <w:rPr>
          <w:sz w:val="20"/>
          <w:szCs w:val="20"/>
          <w:color w:val="auto"/>
        </w:rPr>
      </w:pPr>
    </w:p>
    <w:p>
      <w:pPr>
        <w:jc w:val="both"/>
        <w:ind w:left="1440" w:right="1439" w:firstLine="269"/>
        <w:spacing w:after="0" w:line="257" w:lineRule="auto"/>
        <w:rPr>
          <w:sz w:val="20"/>
          <w:szCs w:val="20"/>
          <w:color w:val="auto"/>
        </w:rPr>
      </w:pPr>
      <w:r>
        <w:rPr>
          <w:rFonts w:ascii="Times New Roman" w:cs="Times New Roman" w:eastAsia="Times New Roman" w:hAnsi="Times New Roman"/>
          <w:sz w:val="13"/>
          <w:szCs w:val="13"/>
          <w:color w:val="auto"/>
        </w:rPr>
        <w:t>Under the Delaware General Corporation Law, a corporation may vary the rights of a class of shares with the approval of a majority of the outstanding shares of such class, unless the certificate of incorporation provides otherwise. Under our articles of association, if our share capital is divided into more than one class of shares, we may materially and adversely vary the rights attached to any class only with the consent in writing of the holders of not less than two-thirds of the issued shares of that class or with the sanction of an ordinary resolution passed at a separate meeting of the holders of the shares of that class.</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Amendment of Governing Documents</w:t>
      </w:r>
    </w:p>
    <w:p>
      <w:pPr>
        <w:spacing w:after="0" w:line="127" w:lineRule="exact"/>
        <w:rPr>
          <w:sz w:val="20"/>
          <w:szCs w:val="20"/>
          <w:color w:val="auto"/>
        </w:rPr>
      </w:pPr>
    </w:p>
    <w:p>
      <w:pPr>
        <w:jc w:val="both"/>
        <w:ind w:left="1440" w:right="1459" w:firstLine="269"/>
        <w:spacing w:after="0" w:line="254" w:lineRule="auto"/>
        <w:rPr>
          <w:sz w:val="20"/>
          <w:szCs w:val="20"/>
          <w:color w:val="auto"/>
        </w:rPr>
      </w:pPr>
      <w:r>
        <w:rPr>
          <w:rFonts w:ascii="Times New Roman" w:cs="Times New Roman" w:eastAsia="Times New Roman" w:hAnsi="Times New Roman"/>
          <w:sz w:val="13"/>
          <w:szCs w:val="13"/>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Cayman Companies Act and our articles of association, our memorandum and articles of association may only be amended by special resolution of our shareholders.</w:t>
      </w:r>
    </w:p>
    <w:p>
      <w:pPr>
        <w:spacing w:after="0" w:line="1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Rights of Non-Resident or Foreign Shareholders</w:t>
      </w:r>
    </w:p>
    <w:p>
      <w:pPr>
        <w:spacing w:after="0" w:line="117" w:lineRule="exact"/>
        <w:rPr>
          <w:sz w:val="20"/>
          <w:szCs w:val="20"/>
          <w:color w:val="auto"/>
        </w:rPr>
      </w:pPr>
    </w:p>
    <w:p>
      <w:pPr>
        <w:jc w:val="both"/>
        <w:ind w:left="1440" w:right="1439" w:firstLine="269"/>
        <w:spacing w:after="0" w:line="264" w:lineRule="auto"/>
        <w:rPr>
          <w:sz w:val="20"/>
          <w:szCs w:val="20"/>
          <w:color w:val="auto"/>
        </w:rPr>
      </w:pPr>
      <w:r>
        <w:rPr>
          <w:rFonts w:ascii="Times New Roman" w:cs="Times New Roman" w:eastAsia="Times New Roman" w:hAnsi="Times New Roman"/>
          <w:sz w:val="13"/>
          <w:szCs w:val="13"/>
          <w:color w:val="auto"/>
        </w:rPr>
        <w:t>There are no limitations imposed by our articles of association on the rights of non-resident or foreign shareholders to hold or exercise voting rights on our shares. In addition, there are no provisions in our articles of association that require the Company to disclose shareholder ownership above any particular ownership threshold.</w:t>
      </w:r>
    </w:p>
    <w:p>
      <w:pPr>
        <w:spacing w:after="0" w:line="2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Directors’ Power to Issue Shares</w:t>
      </w:r>
    </w:p>
    <w:p>
      <w:pPr>
        <w:spacing w:after="0" w:line="127" w:lineRule="exact"/>
        <w:rPr>
          <w:sz w:val="20"/>
          <w:szCs w:val="20"/>
          <w:color w:val="auto"/>
        </w:rPr>
      </w:pPr>
    </w:p>
    <w:p>
      <w:pPr>
        <w:jc w:val="both"/>
        <w:ind w:left="1440" w:right="1439" w:firstLine="269"/>
        <w:spacing w:after="0" w:line="254" w:lineRule="auto"/>
        <w:rPr>
          <w:sz w:val="20"/>
          <w:szCs w:val="20"/>
          <w:color w:val="auto"/>
        </w:rPr>
      </w:pPr>
      <w:r>
        <w:rPr>
          <w:rFonts w:ascii="Times New Roman" w:cs="Times New Roman" w:eastAsia="Times New Roman" w:hAnsi="Times New Roman"/>
          <w:sz w:val="13"/>
          <w:szCs w:val="13"/>
          <w:color w:val="auto"/>
        </w:rPr>
        <w:t>Under our articles of association, our board of directors is empowered to issue or allot shares or grant options, restricted shares, RSUs, share appreciation rights, dividend equivalent rights, warrants and analogous equity-based rights with or without preferred, deferred, qualified or other special rights or restrictions. In particular, pursuant to our articles of association, our board of directors has the authority, without further action by the shareholders, to issue all or any part of our capital and to fix the designations, powers, preferences, privileges, and relative participating, optional or special rights and the qualifications, limitations or restrictions therefrom, including dividend rights, conversion rights, voting rights, terms of redemption and liquidation preferences, any or all of which may be greater than the rights of our ordinary shares.</w:t>
      </w:r>
    </w:p>
    <w:p>
      <w:pPr>
        <w:spacing w:after="0" w:line="28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History of Securities Issuances</w:t>
      </w:r>
    </w:p>
    <w:p>
      <w:pPr>
        <w:spacing w:after="0" w:line="1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following is a summary of our securities issuances in the past three years.</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Ordinary Shares, Series A Preferred Shares and Series A-1 Preferred Shares</w:t>
      </w:r>
    </w:p>
    <w:p>
      <w:pPr>
        <w:spacing w:after="0" w:line="117" w:lineRule="exact"/>
        <w:rPr>
          <w:sz w:val="20"/>
          <w:szCs w:val="20"/>
          <w:color w:val="auto"/>
        </w:rPr>
      </w:pPr>
    </w:p>
    <w:p>
      <w:pPr>
        <w:jc w:val="both"/>
        <w:ind w:left="1440" w:right="1439" w:firstLine="269"/>
        <w:spacing w:after="0" w:line="261" w:lineRule="auto"/>
        <w:rPr>
          <w:sz w:val="20"/>
          <w:szCs w:val="20"/>
          <w:color w:val="auto"/>
        </w:rPr>
      </w:pPr>
      <w:r>
        <w:rPr>
          <w:rFonts w:ascii="Times New Roman" w:cs="Times New Roman" w:eastAsia="Times New Roman" w:hAnsi="Times New Roman"/>
          <w:sz w:val="13"/>
          <w:szCs w:val="13"/>
          <w:color w:val="auto"/>
        </w:rPr>
        <w:t>On November 10, 2023, we entered into an at market issuance sales agreement with B. Riley Securities, Inc. as a sales agent. From November 10, 2023 to December 31, 2023, we utilized the agreement with B. Riley Securities, Inc. for fundraising and sold 31,347,044 ADSs with net proceeds of approximately US$61.2 million at an average price of US$1.99 per ADS.</w:t>
      </w:r>
    </w:p>
    <w:p>
      <w:pPr>
        <w:spacing w:after="0" w:line="77" w:lineRule="exact"/>
        <w:rPr>
          <w:sz w:val="20"/>
          <w:szCs w:val="20"/>
          <w:color w:val="auto"/>
        </w:rPr>
      </w:pPr>
    </w:p>
    <w:p>
      <w:pPr>
        <w:jc w:val="both"/>
        <w:ind w:left="1440" w:right="1459" w:firstLine="269"/>
        <w:spacing w:after="0" w:line="270" w:lineRule="auto"/>
        <w:rPr>
          <w:sz w:val="20"/>
          <w:szCs w:val="20"/>
          <w:color w:val="auto"/>
        </w:rPr>
      </w:pPr>
      <w:r>
        <w:rPr>
          <w:rFonts w:ascii="Times New Roman" w:cs="Times New Roman" w:eastAsia="Times New Roman" w:hAnsi="Times New Roman"/>
          <w:sz w:val="13"/>
          <w:szCs w:val="13"/>
          <w:color w:val="auto"/>
        </w:rPr>
        <w:t>On November 27, 2023, we entered into a securities purchase agreement with an institutional investor (the “Buyer”), pursuant to which we agreed to issue and sell to the Buyer up to 125,000 Series A Preferred Shares at the price of US$1,000.00 for each Series A Preferred Share (the “Series A Preferred Shares</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0" w:name="page21"/>
    <w:bookmarkEnd w:id="20"/>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440" w:right="1439"/>
        <w:spacing w:after="0" w:line="244" w:lineRule="auto"/>
        <w:rPr>
          <w:sz w:val="20"/>
          <w:szCs w:val="20"/>
          <w:color w:val="auto"/>
        </w:rPr>
      </w:pPr>
      <w:r>
        <w:rPr>
          <w:rFonts w:ascii="Times New Roman" w:cs="Times New Roman" w:eastAsia="Times New Roman" w:hAnsi="Times New Roman"/>
          <w:sz w:val="13"/>
          <w:szCs w:val="13"/>
          <w:color w:val="auto"/>
        </w:rPr>
        <w:t>Financing”). The Series A Preferred Shares Financing was conducted in three tranches. The first tranche and second tranche of the Series A Preferred Shares Financing were closed on December 11, 2023 and January 22, 2024, raising total gross proceeds of US$25 million and US$ 50 million, respectively. On September 27, 2024, we closed the third and final tranche of the Series A Preferred Shares Financing, raising additional total gross proceeds of US$50 million. As of the date of this prospectus, all such shares have been converted into Class A ordinary shares and there are no issued and outstanding Series A Preferred Shares.</w:t>
      </w:r>
    </w:p>
    <w:p>
      <w:pPr>
        <w:spacing w:after="0" w:line="239" w:lineRule="exact"/>
        <w:rPr>
          <w:sz w:val="20"/>
          <w:szCs w:val="20"/>
          <w:color w:val="auto"/>
        </w:rPr>
      </w:pPr>
    </w:p>
    <w:p>
      <w:pPr>
        <w:jc w:val="both"/>
        <w:ind w:left="1440" w:right="1459" w:firstLine="269"/>
        <w:spacing w:after="0" w:line="244" w:lineRule="auto"/>
        <w:rPr>
          <w:sz w:val="20"/>
          <w:szCs w:val="20"/>
          <w:color w:val="auto"/>
        </w:rPr>
      </w:pPr>
      <w:r>
        <w:rPr>
          <w:rFonts w:ascii="Times New Roman" w:cs="Times New Roman" w:eastAsia="Times New Roman" w:hAnsi="Times New Roman"/>
          <w:sz w:val="13"/>
          <w:szCs w:val="13"/>
          <w:color w:val="auto"/>
        </w:rPr>
        <w:t>On November 19, 2024, the Company entered into a securities purchase agreement with the Buyer, pursuant to which the Company agreed to issue and sell to the Buyer 30,000 Series A-1 Convertible Preferred Shares (the “Series A-1 Preferred Shares”) at the price of US$ 1,000.00 for each Series A-1 Preferred Share. On November 25, 2024, we closed the Series A-1 preferred shares financing, raising total gross proceeds of US$30 million. All such shares have been converted into Class A ordinary shares. As of the date of this prospectus, there are no issued and outstanding Series A-1 Preferred Shares.</w:t>
      </w:r>
    </w:p>
    <w:p>
      <w:pPr>
        <w:spacing w:after="0" w:line="77" w:lineRule="exact"/>
        <w:rPr>
          <w:sz w:val="20"/>
          <w:szCs w:val="20"/>
          <w:color w:val="auto"/>
        </w:rPr>
      </w:pPr>
    </w:p>
    <w:p>
      <w:pPr>
        <w:jc w:val="both"/>
        <w:ind w:left="1440" w:right="1439" w:firstLine="269"/>
        <w:spacing w:after="0" w:line="244" w:lineRule="auto"/>
        <w:rPr>
          <w:sz w:val="20"/>
          <w:szCs w:val="20"/>
          <w:color w:val="auto"/>
        </w:rPr>
      </w:pPr>
      <w:r>
        <w:rPr>
          <w:rFonts w:ascii="Times New Roman" w:cs="Times New Roman" w:eastAsia="Times New Roman" w:hAnsi="Times New Roman"/>
          <w:sz w:val="13"/>
          <w:szCs w:val="13"/>
          <w:color w:val="auto"/>
        </w:rPr>
        <w:t>On December 23, 2024, we entered into a sales agreement (the “ATM Agreement”) with Macquarie Capital Limited, Keefe, Bruyette &amp; Woods, Inc., China Renaissance Securities (Hong Kong) Limited, Compass Point Research &amp; Trading, LLC, Craig-Hallum Capital Group LLC, Northland Securities, Inc., Rosenblatt Securities Inc., The Benchmark Company, LLC, and B. Riley Securities Inc. as sales agents. We filed a new prospectus supplement dated December 23, 2024, setting up the new at-the- market equity offering program (the “ATM Program”), under which the Company may sell up to an aggregate of US$270 million of the ADSs, each representing fifteen Class A ordinary shares of the Company, through or to the sales agents.</w:t>
      </w:r>
    </w:p>
    <w:p>
      <w:pPr>
        <w:spacing w:after="0" w:line="228" w:lineRule="exact"/>
        <w:rPr>
          <w:sz w:val="20"/>
          <w:szCs w:val="20"/>
          <w:color w:val="auto"/>
        </w:rPr>
      </w:pPr>
    </w:p>
    <w:p>
      <w:pPr>
        <w:jc w:val="both"/>
        <w:ind w:left="1440" w:right="1459" w:firstLine="269"/>
        <w:spacing w:after="0" w:line="244" w:lineRule="auto"/>
        <w:rPr>
          <w:sz w:val="20"/>
          <w:szCs w:val="20"/>
          <w:color w:val="auto"/>
        </w:rPr>
      </w:pPr>
      <w:r>
        <w:rPr>
          <w:rFonts w:ascii="Times New Roman" w:cs="Times New Roman" w:eastAsia="Times New Roman" w:hAnsi="Times New Roman"/>
          <w:sz w:val="13"/>
          <w:szCs w:val="13"/>
          <w:color w:val="auto"/>
        </w:rPr>
        <w:t>On March 6, 2025, we entered into a Securities Purchase Agreement with an institutional investor, relating to the purchase of up to 200,000 Series A-1 Preferred Shares (the “2025 Series A-1 Preferred Shares”) at US$1,000.00 for each Series A-1 Preferred Share, providing with total gross proceeds of up to US$200 million. The first tranche closing of 2025 Series A-1 Preferred Shares was completed on March 10, 2025, where an initial US$100 million has been received. Effective April 30, 2025, the Buyer and we have mutually agreed to terminate the agreement with respect to the second tranche. All aforementioned 2025 Series A-1 Preferred Shares have been converted into Class A ordinary shares. All pre-delivery shares have been returned to us.</w:t>
      </w:r>
    </w:p>
    <w:p>
      <w:pPr>
        <w:spacing w:after="0" w:line="228" w:lineRule="exact"/>
        <w:rPr>
          <w:sz w:val="20"/>
          <w:szCs w:val="20"/>
          <w:color w:val="auto"/>
        </w:rPr>
      </w:pPr>
    </w:p>
    <w:p>
      <w:pPr>
        <w:jc w:val="both"/>
        <w:ind w:left="1440" w:right="1459" w:firstLine="269"/>
        <w:spacing w:after="0" w:line="244" w:lineRule="auto"/>
        <w:rPr>
          <w:sz w:val="20"/>
          <w:szCs w:val="20"/>
          <w:color w:val="auto"/>
        </w:rPr>
      </w:pPr>
      <w:r>
        <w:rPr>
          <w:rFonts w:ascii="Times New Roman" w:cs="Times New Roman" w:eastAsia="Times New Roman" w:hAnsi="Times New Roman"/>
          <w:sz w:val="13"/>
          <w:szCs w:val="13"/>
          <w:color w:val="auto"/>
        </w:rPr>
        <w:t>On October 24, 2025, we entered into an At-the-market offering agreement (the “2025 ATM Agreement”) with Macquarie Capital Limited, Keefe, Bruyette &amp; Woods, Inc., China Renaissance Securities (Hong Kong) Limited, Compass Point Research &amp; Trading, LLC, Northland Securities, Inc., Rosenblatt Securities Inc., The Benchmark Company, LLC, B. Riley Securities Inc. (“B. Riley”) and CLSA Limited as sales agents (the “sales agents”), pursuant to which we may issue up to US$270.0 million of the ADSs. For the year ended December 31, 2025, we issued 4,841,000 ADSs with net proceeds of US$7.2 million.</w:t>
      </w:r>
    </w:p>
    <w:p>
      <w:pPr>
        <w:spacing w:after="0" w:line="98"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On November 3, 2025, we entered into a securities purchase agreement with certain institutional investors for a registered direct placement of approximately US$72.0 million of our ADS, each ADS representing 15 Class A ordinary shares of us, par value US$0.00000005 per share, or US$1.13 per ADS (the “November 2025 RDO”).</w:t>
      </w:r>
    </w:p>
    <w:p>
      <w:pPr>
        <w:spacing w:after="0" w:line="2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Share Repurchase Program</w:t>
      </w:r>
    </w:p>
    <w:p>
      <w:pPr>
        <w:spacing w:after="0" w:line="127" w:lineRule="exact"/>
        <w:rPr>
          <w:sz w:val="20"/>
          <w:szCs w:val="20"/>
          <w:color w:val="auto"/>
        </w:rPr>
      </w:pPr>
    </w:p>
    <w:p>
      <w:pPr>
        <w:jc w:val="both"/>
        <w:ind w:left="1440" w:right="1459" w:firstLine="269"/>
        <w:spacing w:after="0" w:line="252" w:lineRule="auto"/>
        <w:rPr>
          <w:sz w:val="20"/>
          <w:szCs w:val="20"/>
          <w:color w:val="auto"/>
        </w:rPr>
      </w:pPr>
      <w:r>
        <w:rPr>
          <w:rFonts w:ascii="Times New Roman" w:cs="Times New Roman" w:eastAsia="Times New Roman" w:hAnsi="Times New Roman"/>
          <w:sz w:val="13"/>
          <w:szCs w:val="13"/>
          <w:color w:val="auto"/>
        </w:rPr>
        <w:t>We announced a share repurchase program approved by our board of directors on May 27, 2025, under which we may repurchase up to US$30 million worth of our outstanding ADSs and/or Class A ordinary shares over a period of six months. On December 17, 2025, we announced the renewal of share repurchase program approved by our board of directors, under which we may repurchase up to US$30 million worth of our outstanding ADSs and/or Class A ordinary shares over a period of twelve months. The repurchases have been through various means, including open market transactions at prevailing market prices, privately negotiated transactions, block trades or any combination thereof. The repurchases have been, and will be, effected in compliance with Rule 10b5-1 and/or Rule 10b-18 under the Exchange Act, and our insider trading policy. The number of ADSs repurchased and the timing of repurchases depends on a number of factors, including, but not limited to, price, trading volume and general market conditions, along with our working capital requirements and general business conditions.</w:t>
      </w:r>
    </w:p>
    <w:p>
      <w:pPr>
        <w:spacing w:after="0" w:line="2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Share Options</w:t>
      </w:r>
    </w:p>
    <w:p>
      <w:pPr>
        <w:spacing w:after="0" w:line="127" w:lineRule="exact"/>
        <w:rPr>
          <w:sz w:val="20"/>
          <w:szCs w:val="20"/>
          <w:color w:val="auto"/>
        </w:rPr>
      </w:pPr>
    </w:p>
    <w:p>
      <w:pPr>
        <w:jc w:val="both"/>
        <w:ind w:left="1440" w:right="1459" w:firstLine="269"/>
        <w:spacing w:after="0" w:line="282" w:lineRule="auto"/>
        <w:rPr>
          <w:sz w:val="20"/>
          <w:szCs w:val="20"/>
          <w:color w:val="auto"/>
        </w:rPr>
      </w:pPr>
      <w:r>
        <w:rPr>
          <w:rFonts w:ascii="Times New Roman" w:cs="Times New Roman" w:eastAsia="Times New Roman" w:hAnsi="Times New Roman"/>
          <w:sz w:val="13"/>
          <w:szCs w:val="13"/>
          <w:color w:val="auto"/>
        </w:rPr>
        <w:t>We have granted options to purchase our ordinary shares and awards to certain of our executive officers and employees. See “Item 6. Directors, Senior Management and Employees — B. Compensation — Share</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1" w:name="page22"/>
    <w:bookmarkEnd w:id="21"/>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40" w:right="1459"/>
        <w:spacing w:after="0" w:line="29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Incentive Plan” in our </w:t>
      </w:r>
      <w:hyperlink r:id="rId16">
        <w:r>
          <w:rPr>
            <w:rFonts w:ascii="Times New Roman" w:cs="Times New Roman" w:eastAsia="Times New Roman" w:hAnsi="Times New Roman"/>
            <w:sz w:val="13"/>
            <w:szCs w:val="13"/>
            <w:u w:val="single" w:color="auto"/>
            <w:color w:val="0000EE"/>
          </w:rPr>
          <w:t>annual report on Form 20-F for the fiscal year ended December 31, 2024</w:t>
        </w:r>
      </w:hyperlink>
      <w:r>
        <w:rPr>
          <w:rFonts w:ascii="Times New Roman" w:cs="Times New Roman" w:eastAsia="Times New Roman" w:hAnsi="Times New Roman"/>
          <w:sz w:val="13"/>
          <w:szCs w:val="13"/>
          <w:color w:val="auto"/>
        </w:rPr>
        <w:t>, which is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2" w:name="page23"/>
    <w:bookmarkEnd w:id="22"/>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3"/>
          <w:szCs w:val="13"/>
          <w:b w:val="1"/>
          <w:bCs w:val="1"/>
          <w:color w:val="auto"/>
        </w:rPr>
        <w:t>DESCRIPTION OF AMERICAN DEPOSITARY SHARES</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American Depositary Shares</w:t>
      </w:r>
    </w:p>
    <w:p>
      <w:pPr>
        <w:spacing w:after="0" w:line="127"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The Bank of New York Mellon, as depositary, will register and deliver American Depositary Shares, also referred to as ADSs. Each ADS will represent 15 Class A ordinary shares (or a right to receive 15 Class A ordinary shares) deposited with The Hong 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is located at 240 Greenwich Street, New York, New York 10286.</w:t>
      </w:r>
    </w:p>
    <w:p>
      <w:pPr>
        <w:spacing w:after="0" w:line="240" w:lineRule="exact"/>
        <w:rPr>
          <w:sz w:val="20"/>
          <w:szCs w:val="20"/>
          <w:color w:val="auto"/>
        </w:rPr>
      </w:pPr>
    </w:p>
    <w:p>
      <w:pPr>
        <w:jc w:val="both"/>
        <w:ind w:left="1440" w:right="1439" w:firstLine="269"/>
        <w:spacing w:after="0" w:line="254" w:lineRule="auto"/>
        <w:rPr>
          <w:sz w:val="20"/>
          <w:szCs w:val="20"/>
          <w:color w:val="auto"/>
        </w:rPr>
      </w:pPr>
      <w:r>
        <w:rPr>
          <w:rFonts w:ascii="Times New Roman" w:cs="Times New Roman" w:eastAsia="Times New Roman" w:hAnsi="Times New Roman"/>
          <w:sz w:val="13"/>
          <w:szCs w:val="13"/>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You should consult with your broker or financial institution to find out what those procedures are.</w:t>
      </w:r>
    </w:p>
    <w:p>
      <w:pPr>
        <w:spacing w:after="0" w:line="239" w:lineRule="exact"/>
        <w:rPr>
          <w:sz w:val="20"/>
          <w:szCs w:val="20"/>
          <w:color w:val="auto"/>
        </w:rPr>
      </w:pPr>
    </w:p>
    <w:p>
      <w:pPr>
        <w:jc w:val="both"/>
        <w:ind w:left="1440" w:right="1459" w:firstLine="269"/>
        <w:spacing w:after="0" w:line="282" w:lineRule="auto"/>
        <w:rPr>
          <w:sz w:val="20"/>
          <w:szCs w:val="20"/>
          <w:color w:val="auto"/>
        </w:rPr>
      </w:pPr>
      <w:r>
        <w:rPr>
          <w:rFonts w:ascii="Times New Roman" w:cs="Times New Roman" w:eastAsia="Times New Roman" w:hAnsi="Times New Roman"/>
          <w:sz w:val="13"/>
          <w:szCs w:val="13"/>
          <w:color w:val="auto"/>
        </w:rPr>
        <w:t>Registered holders of uncertificated ADSs will receive statements from the depositary confirming their holdings.</w:t>
      </w:r>
    </w:p>
    <w:p>
      <w:pPr>
        <w:spacing w:after="0" w:line="63" w:lineRule="exact"/>
        <w:rPr>
          <w:sz w:val="20"/>
          <w:szCs w:val="20"/>
          <w:color w:val="auto"/>
        </w:rPr>
      </w:pPr>
    </w:p>
    <w:p>
      <w:pPr>
        <w:jc w:val="both"/>
        <w:ind w:left="1440" w:right="1439" w:firstLine="269"/>
        <w:spacing w:after="0" w:line="255" w:lineRule="auto"/>
        <w:rPr>
          <w:sz w:val="20"/>
          <w:szCs w:val="20"/>
          <w:color w:val="auto"/>
        </w:rPr>
      </w:pPr>
      <w:r>
        <w:rPr>
          <w:rFonts w:ascii="Times New Roman" w:cs="Times New Roman" w:eastAsia="Times New Roman" w:hAnsi="Times New Roman"/>
          <w:sz w:val="13"/>
          <w:szCs w:val="13"/>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 The rights of holders of Class A ordinary shares (including Class A ordinary shares represented by ADSs) are governed by the laws of the Cayman Islands.</w:t>
      </w:r>
    </w:p>
    <w:p>
      <w:pPr>
        <w:spacing w:after="0" w:line="79" w:lineRule="exact"/>
        <w:rPr>
          <w:sz w:val="20"/>
          <w:szCs w:val="20"/>
          <w:color w:val="auto"/>
        </w:rPr>
      </w:pPr>
    </w:p>
    <w:p>
      <w:pPr>
        <w:jc w:val="both"/>
        <w:ind w:left="1440" w:right="1459" w:firstLine="269"/>
        <w:spacing w:after="0" w:line="270" w:lineRule="auto"/>
        <w:rPr>
          <w:sz w:val="20"/>
          <w:szCs w:val="20"/>
          <w:color w:val="auto"/>
        </w:rPr>
      </w:pPr>
      <w:r>
        <w:rPr>
          <w:rFonts w:ascii="Times New Roman" w:cs="Times New Roman" w:eastAsia="Times New Roman" w:hAnsi="Times New Roman"/>
          <w:sz w:val="13"/>
          <w:szCs w:val="13"/>
          <w:color w:val="auto"/>
        </w:rPr>
        <w:t>The following is a summary of the material provisions of the deposit agreement. For more complete information, you should read the entire deposit agreement and the form of ADR. See “Where You Can Find More Information” for directions on how to obtain copies of those documents.</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Dividends and Other Distributions</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How will you receive dividends and other distributions on the shares?</w:t>
      </w:r>
    </w:p>
    <w:p>
      <w:pPr>
        <w:spacing w:after="0" w:line="127"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230" w:lineRule="exact"/>
        <w:rPr>
          <w:sz w:val="20"/>
          <w:szCs w:val="20"/>
          <w:color w:val="auto"/>
        </w:rPr>
      </w:pPr>
    </w:p>
    <w:p>
      <w:pPr>
        <w:jc w:val="both"/>
        <w:ind w:left="1440" w:right="1459" w:firstLine="26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Cash</w:t>
      </w:r>
      <w:r>
        <w:rPr>
          <w:rFonts w:ascii="Times New Roman" w:cs="Times New Roman" w:eastAsia="Times New Roman" w:hAnsi="Times New Roman"/>
          <w:sz w:val="13"/>
          <w:szCs w:val="13"/>
          <w:color w:val="auto"/>
        </w:rPr>
        <w:t>. The depositary will convert any cash dividend or other cash distribution we pay on the shares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81" w:lineRule="exact"/>
        <w:rPr>
          <w:sz w:val="20"/>
          <w:szCs w:val="20"/>
          <w:color w:val="auto"/>
        </w:rPr>
      </w:pPr>
    </w:p>
    <w:p>
      <w:pPr>
        <w:jc w:val="both"/>
        <w:ind w:left="1440" w:right="1439" w:firstLine="269"/>
        <w:spacing w:after="0" w:line="261" w:lineRule="auto"/>
        <w:rPr>
          <w:sz w:val="20"/>
          <w:szCs w:val="20"/>
          <w:color w:val="auto"/>
        </w:rPr>
      </w:pPr>
      <w:r>
        <w:rPr>
          <w:rFonts w:ascii="Times New Roman" w:cs="Times New Roman" w:eastAsia="Times New Roman" w:hAnsi="Times New Roman"/>
          <w:sz w:val="13"/>
          <w:szCs w:val="13"/>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Times New Roman" w:cs="Times New Roman" w:eastAsia="Times New Roman" w:hAnsi="Times New Roman"/>
          <w:sz w:val="13"/>
          <w:szCs w:val="13"/>
          <w:i w:val="1"/>
          <w:iCs w:val="1"/>
          <w:color w:val="auto"/>
        </w:rPr>
        <w:t>If the exchange rates fluctuate during a time when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depositary cannot convert the foreign currency, you may lose some of the value of the distribution.</w:t>
      </w:r>
    </w:p>
    <w:p>
      <w:pPr>
        <w:spacing w:after="0" w:line="73" w:lineRule="exact"/>
        <w:rPr>
          <w:sz w:val="20"/>
          <w:szCs w:val="20"/>
          <w:color w:val="auto"/>
        </w:rPr>
      </w:pPr>
    </w:p>
    <w:p>
      <w:pPr>
        <w:jc w:val="both"/>
        <w:ind w:left="1440" w:right="1439" w:firstLine="26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depositary may distribute additional ADSs representing any shares we distribute as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dividend or free distribution. The depositary will only distribute whole ADSs. It will sell shares which would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3" w:name="page24"/>
    <w:bookmarkEnd w:id="23"/>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62" w:lineRule="auto"/>
        <w:rPr>
          <w:sz w:val="20"/>
          <w:szCs w:val="20"/>
          <w:color w:val="auto"/>
        </w:rPr>
      </w:pPr>
      <w:r>
        <w:rPr>
          <w:rFonts w:ascii="Times New Roman" w:cs="Times New Roman" w:eastAsia="Times New Roman" w:hAnsi="Times New Roman"/>
          <w:sz w:val="13"/>
          <w:szCs w:val="13"/>
          <w:color w:val="auto"/>
        </w:rPr>
        <w:t>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32" w:lineRule="exact"/>
        <w:rPr>
          <w:sz w:val="20"/>
          <w:szCs w:val="20"/>
          <w:color w:val="auto"/>
        </w:rPr>
      </w:pPr>
    </w:p>
    <w:p>
      <w:pPr>
        <w:jc w:val="both"/>
        <w:ind w:left="1440" w:right="1459" w:firstLine="26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Rights to purchase additional shares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If we offer holders of our securities any rights to subscribe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additional shares or any other rights, the depositary may (i) exercise those rights on behalf of ADS holders,</w:t>
      </w:r>
    </w:p>
    <w:p>
      <w:pPr>
        <w:spacing w:after="0" w:line="1" w:lineRule="exact"/>
        <w:rPr>
          <w:sz w:val="20"/>
          <w:szCs w:val="20"/>
          <w:color w:val="auto"/>
        </w:rPr>
      </w:pPr>
    </w:p>
    <w:p>
      <w:pPr>
        <w:jc w:val="both"/>
        <w:ind w:left="1440" w:right="1459" w:hanging="5"/>
        <w:spacing w:after="0" w:line="250" w:lineRule="auto"/>
        <w:tabs>
          <w:tab w:leader="none" w:pos="1664"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3"/>
          <w:szCs w:val="13"/>
          <w:i w:val="1"/>
          <w:iCs w:val="1"/>
          <w:color w:val="auto"/>
        </w:rPr>
        <w:t>In that case, you will receive no value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them. </w:t>
      </w:r>
      <w:r>
        <w:rPr>
          <w:rFonts w:ascii="Times New Roman" w:cs="Times New Roman" w:eastAsia="Times New Roman" w:hAnsi="Times New Roman"/>
          <w:sz w:val="13"/>
          <w:szCs w:val="13"/>
          <w:color w:val="auto"/>
        </w:rPr>
        <w:t>The depositary will exercise or distribute rights only if we ask it to and provide satisfactory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236"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Other Distributions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depositary will send to ADS holders anything else we distribute on deposited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41" w:lineRule="exact"/>
        <w:rPr>
          <w:sz w:val="20"/>
          <w:szCs w:val="20"/>
          <w:color w:val="auto"/>
        </w:rPr>
      </w:pPr>
    </w:p>
    <w:p>
      <w:pPr>
        <w:jc w:val="both"/>
        <w:ind w:left="1440" w:right="1439" w:firstLine="269"/>
        <w:spacing w:after="0" w:line="253" w:lineRule="auto"/>
        <w:rPr>
          <w:sz w:val="20"/>
          <w:szCs w:val="20"/>
          <w:color w:val="auto"/>
        </w:rPr>
      </w:pPr>
      <w:r>
        <w:rPr>
          <w:rFonts w:ascii="Times New Roman" w:cs="Times New Roman" w:eastAsia="Times New Roman" w:hAnsi="Times New Roman"/>
          <w:sz w:val="13"/>
          <w:szCs w:val="13"/>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 w:cs="Times New Roman" w:eastAsia="Times New Roman" w:hAnsi="Times New Roman"/>
          <w:sz w:val="13"/>
          <w:szCs w:val="13"/>
          <w:i w:val="1"/>
          <w:iCs w:val="1"/>
          <w:color w:val="auto"/>
        </w:rPr>
        <w:t>This means that you may not receive the distributions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we make on our shares or any value for them if it is illegal or impractical for us to make them available to</w:t>
      </w:r>
    </w:p>
    <w:p>
      <w:pPr>
        <w:spacing w:after="0" w:line="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i w:val="1"/>
          <w:iCs w:val="1"/>
          <w:color w:val="auto"/>
        </w:rPr>
        <w:t>you</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Deposit, Withdrawal and Cancelation</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How are ADSs issued?</w:t>
      </w:r>
    </w:p>
    <w:p>
      <w:pPr>
        <w:spacing w:after="0" w:line="127" w:lineRule="exact"/>
        <w:rPr>
          <w:sz w:val="20"/>
          <w:szCs w:val="20"/>
          <w:color w:val="auto"/>
        </w:rPr>
      </w:pPr>
    </w:p>
    <w:p>
      <w:pPr>
        <w:jc w:val="both"/>
        <w:ind w:left="1440" w:right="1459" w:firstLine="269"/>
        <w:spacing w:after="0" w:line="258" w:lineRule="auto"/>
        <w:rPr>
          <w:sz w:val="20"/>
          <w:szCs w:val="20"/>
          <w:color w:val="auto"/>
        </w:rPr>
      </w:pPr>
      <w:r>
        <w:rPr>
          <w:rFonts w:ascii="Times New Roman" w:cs="Times New Roman" w:eastAsia="Times New Roman" w:hAnsi="Times New Roman"/>
          <w:sz w:val="13"/>
          <w:szCs w:val="13"/>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How can ADS holders withdraw the deposited securities?</w:t>
      </w:r>
    </w:p>
    <w:p>
      <w:pPr>
        <w:spacing w:after="0" w:line="127" w:lineRule="exact"/>
        <w:rPr>
          <w:sz w:val="20"/>
          <w:szCs w:val="20"/>
          <w:color w:val="auto"/>
        </w:rPr>
      </w:pPr>
    </w:p>
    <w:p>
      <w:pPr>
        <w:jc w:val="both"/>
        <w:ind w:left="1440" w:right="1439" w:firstLine="269"/>
        <w:spacing w:after="0" w:line="253" w:lineRule="auto"/>
        <w:rPr>
          <w:sz w:val="20"/>
          <w:szCs w:val="20"/>
          <w:color w:val="auto"/>
        </w:rPr>
      </w:pPr>
      <w:r>
        <w:rPr>
          <w:rFonts w:ascii="Times New Roman" w:cs="Times New Roman" w:eastAsia="Times New Roman" w:hAnsi="Times New Roman"/>
          <w:sz w:val="13"/>
          <w:szCs w:val="13"/>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How do ADS holders interchange between certificated ADSs and uncertificated ADSs?</w:t>
      </w:r>
    </w:p>
    <w:p>
      <w:pPr>
        <w:spacing w:after="0" w:line="117"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You may surrender your ADR to the depositary for the purpose of exchanging your ADR for uncertificated ADSs. The depositary will cancel that ADR and will send to the ADS holder a statement</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4" w:name="page25"/>
    <w:bookmarkEnd w:id="24"/>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39"/>
        <w:spacing w:after="0" w:line="276" w:lineRule="auto"/>
        <w:rPr>
          <w:sz w:val="20"/>
          <w:szCs w:val="20"/>
          <w:color w:val="auto"/>
        </w:rPr>
      </w:pPr>
      <w:r>
        <w:rPr>
          <w:rFonts w:ascii="Times New Roman" w:cs="Times New Roman" w:eastAsia="Times New Roman" w:hAnsi="Times New Roman"/>
          <w:sz w:val="13"/>
          <w:szCs w:val="13"/>
          <w:color w:val="auto"/>
        </w:rPr>
        <w:t>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Voting Rights</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How do you vote?</w:t>
      </w:r>
    </w:p>
    <w:p>
      <w:pPr>
        <w:spacing w:after="0" w:line="127" w:lineRule="exact"/>
        <w:rPr>
          <w:sz w:val="20"/>
          <w:szCs w:val="20"/>
          <w:color w:val="auto"/>
        </w:rPr>
      </w:pPr>
    </w:p>
    <w:p>
      <w:pPr>
        <w:jc w:val="both"/>
        <w:ind w:left="1440" w:right="1459" w:firstLine="269"/>
        <w:spacing w:after="0" w:line="263" w:lineRule="auto"/>
        <w:rPr>
          <w:sz w:val="20"/>
          <w:szCs w:val="20"/>
          <w:color w:val="auto"/>
        </w:rPr>
      </w:pPr>
      <w:r>
        <w:rPr>
          <w:rFonts w:ascii="Times New Roman" w:cs="Times New Roman" w:eastAsia="Times New Roman" w:hAnsi="Times New Roman"/>
          <w:sz w:val="13"/>
          <w:szCs w:val="13"/>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or as described in the following sentence. If we asked the depositary to solicit your instructions at least 45 days before the meeting date but the depositary does not receive voting instructions from you by the specified date and we confirm to the depositary that:</w:t>
      </w:r>
    </w:p>
    <w:p>
      <w:pPr>
        <w:spacing w:after="0" w:line="58" w:lineRule="exact"/>
        <w:rPr>
          <w:sz w:val="20"/>
          <w:szCs w:val="20"/>
          <w:color w:val="auto"/>
        </w:rPr>
      </w:pPr>
    </w:p>
    <w:p>
      <w:pPr>
        <w:ind w:left="1840" w:hanging="136"/>
        <w:spacing w:after="0"/>
        <w:tabs>
          <w:tab w:leader="none" w:pos="18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wish to receive a proxy to vote uninstructed shares;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reasonably do not know of any substantial shareholder opposition to the proxy item(s); and</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proxy item(s) is not materially adverse to the interests of shareholders,</w:t>
      </w:r>
    </w:p>
    <w:p>
      <w:pPr>
        <w:spacing w:after="0" w:line="123" w:lineRule="exact"/>
        <w:rPr>
          <w:sz w:val="20"/>
          <w:szCs w:val="20"/>
          <w:color w:val="auto"/>
        </w:rPr>
      </w:pPr>
    </w:p>
    <w:p>
      <w:pPr>
        <w:jc w:val="both"/>
        <w:ind w:left="1440" w:right="1439"/>
        <w:spacing w:after="0" w:line="271" w:lineRule="auto"/>
        <w:rPr>
          <w:sz w:val="20"/>
          <w:szCs w:val="20"/>
          <w:color w:val="auto"/>
        </w:rPr>
      </w:pPr>
      <w:r>
        <w:rPr>
          <w:rFonts w:ascii="Times New Roman" w:cs="Times New Roman" w:eastAsia="Times New Roman" w:hAnsi="Times New Roman"/>
          <w:sz w:val="13"/>
          <w:szCs w:val="13"/>
          <w:color w:val="auto"/>
        </w:rPr>
        <w:t>then the depositary will consider you to have authorized and directed it to give a discretionary proxy to a person designated by us to vote the number of deposited securities represented by your ADSs as to the proxy item(s). If we do not request the depositary to solicit your voting instructions, you can still send voting instructions, and, in that case, the depositary may try to vote as you instruct, but it is not required to do so.</w:t>
      </w:r>
    </w:p>
    <w:p>
      <w:pPr>
        <w:spacing w:after="0" w:line="231" w:lineRule="exact"/>
        <w:rPr>
          <w:sz w:val="20"/>
          <w:szCs w:val="20"/>
          <w:color w:val="auto"/>
        </w:rPr>
      </w:pPr>
    </w:p>
    <w:p>
      <w:pPr>
        <w:jc w:val="both"/>
        <w:ind w:left="1440" w:right="1459" w:firstLine="269"/>
        <w:spacing w:after="0" w:line="273" w:lineRule="auto"/>
        <w:rPr>
          <w:sz w:val="20"/>
          <w:szCs w:val="20"/>
          <w:color w:val="auto"/>
        </w:rPr>
      </w:pPr>
      <w:r>
        <w:rPr>
          <w:rFonts w:ascii="Times New Roman" w:cs="Times New Roman" w:eastAsia="Times New Roman" w:hAnsi="Times New Roman"/>
          <w:sz w:val="13"/>
          <w:szCs w:val="13"/>
          <w:i w:val="1"/>
          <w:iCs w:val="1"/>
          <w:color w:val="auto"/>
        </w:rPr>
        <w:t>Except by instructing the depositary as described above, you won’t be able to exercise voting rights unless you surrender your ADSs and withdraw the shares. However, you may not know about the meeting enough in advance to withdraw the shares</w:t>
      </w:r>
      <w:r>
        <w:rPr>
          <w:rFonts w:ascii="Times New Roman" w:cs="Times New Roman" w:eastAsia="Times New Roman" w:hAnsi="Times New Roman"/>
          <w:sz w:val="13"/>
          <w:szCs w:val="13"/>
          <w:color w:val="auto"/>
        </w:rPr>
        <w:t>. In any event, the depositary will not exercise any discretion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voting deposited securities and it will only vote or attempt to vote as instructed.</w:t>
      </w:r>
    </w:p>
    <w:p>
      <w:pPr>
        <w:spacing w:after="0" w:line="79" w:lineRule="exact"/>
        <w:rPr>
          <w:sz w:val="20"/>
          <w:szCs w:val="20"/>
          <w:color w:val="auto"/>
        </w:rPr>
      </w:pPr>
    </w:p>
    <w:p>
      <w:pPr>
        <w:jc w:val="both"/>
        <w:ind w:left="1440" w:right="1459" w:firstLine="269"/>
        <w:spacing w:after="0" w:line="271" w:lineRule="auto"/>
        <w:rPr>
          <w:sz w:val="20"/>
          <w:szCs w:val="20"/>
          <w:color w:val="auto"/>
        </w:rPr>
      </w:pPr>
      <w:r>
        <w:rPr>
          <w:rFonts w:ascii="Times New Roman" w:cs="Times New Roman" w:eastAsia="Times New Roman" w:hAnsi="Times New Roman"/>
          <w:sz w:val="13"/>
          <w:szCs w:val="13"/>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 w:cs="Times New Roman" w:eastAsia="Times New Roman" w:hAnsi="Times New Roman"/>
          <w:sz w:val="13"/>
          <w:szCs w:val="13"/>
          <w:i w:val="1"/>
          <w:iCs w:val="1"/>
          <w:color w:val="auto"/>
        </w:rPr>
        <w:t>This means that you may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not be able to exercise voting rights and there may be nothing you can do if your shares are not voted as you requested.</w:t>
      </w:r>
    </w:p>
    <w:p>
      <w:pPr>
        <w:spacing w:after="0" w:line="243" w:lineRule="exact"/>
        <w:rPr>
          <w:sz w:val="20"/>
          <w:szCs w:val="20"/>
          <w:color w:val="auto"/>
        </w:rPr>
      </w:pPr>
    </w:p>
    <w:p>
      <w:pPr>
        <w:jc w:val="both"/>
        <w:ind w:left="1440" w:right="1459" w:firstLine="269"/>
        <w:spacing w:after="0" w:line="276" w:lineRule="auto"/>
        <w:rPr>
          <w:sz w:val="20"/>
          <w:szCs w:val="20"/>
          <w:color w:val="auto"/>
        </w:rPr>
      </w:pPr>
      <w:r>
        <w:rPr>
          <w:rFonts w:ascii="Times New Roman" w:cs="Times New Roman" w:eastAsia="Times New Roman" w:hAnsi="Times New Roman"/>
          <w:sz w:val="13"/>
          <w:szCs w:val="13"/>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Fees and Expenses</w:t>
      </w:r>
    </w:p>
    <w:p>
      <w:pPr>
        <w:spacing w:after="0" w:line="28"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1"/>
          <w:szCs w:val="11"/>
          <w:b w:val="1"/>
          <w:bCs w:val="1"/>
          <w:color w:val="auto"/>
        </w:rPr>
        <w:t xml:space="preserve">Persons depositing or withdrawing shares or ADS holders must pay: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For:</w:t>
      </w:r>
      <w:r>
        <w:rPr>
          <w:sz w:val="20"/>
          <w:szCs w:val="20"/>
          <w:color w:val="auto"/>
        </w:rPr>
        <w:t xml:space="preserve">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12700</wp:posOffset>
            </wp:positionV>
            <wp:extent cx="389763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897630" cy="635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p>
      <w:pPr>
        <w:spacing w:after="0" w:line="38" w:lineRule="exact"/>
        <w:rPr>
          <w:sz w:val="20"/>
          <w:szCs w:val="20"/>
          <w:color w:val="auto"/>
        </w:rPr>
      </w:pPr>
    </w:p>
    <w:p>
      <w:pPr>
        <w:ind w:left="1440"/>
        <w:spacing w:after="0" w:line="298" w:lineRule="auto"/>
        <w:rPr>
          <w:sz w:val="20"/>
          <w:szCs w:val="20"/>
          <w:color w:val="auto"/>
        </w:rPr>
      </w:pPr>
      <w:r>
        <w:rPr>
          <w:rFonts w:ascii="Times New Roman" w:cs="Times New Roman" w:eastAsia="Times New Roman" w:hAnsi="Times New Roman"/>
          <w:sz w:val="13"/>
          <w:szCs w:val="13"/>
          <w:color w:val="auto"/>
        </w:rPr>
        <w:t>$5.00 (or less) per 100 ADSs (or portion of 100 ADSs)</w:t>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40" w:hanging="156"/>
        <w:spacing w:after="0" w:line="274" w:lineRule="auto"/>
        <w:tabs>
          <w:tab w:leader="none" w:pos="15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Issuance of ADSs, including issuances resulting from a distribution of shares or rights or other property</w:t>
      </w:r>
    </w:p>
    <w:p>
      <w:pPr>
        <w:ind w:left="240" w:right="80" w:hanging="156"/>
        <w:spacing w:after="0" w:line="293" w:lineRule="auto"/>
        <w:tabs>
          <w:tab w:leader="none" w:pos="15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Cancelation of ADSs for the purpose of withdrawal, including if the deposit agreement terminates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189230</wp:posOffset>
            </wp:positionV>
            <wp:extent cx="511556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3">
            <w:col w:w="4120" w:space="300"/>
            <w:col w:w="2960" w:space="200"/>
            <w:col w:w="1439"/>
          </w:cols>
          <w:pgMar w:left="1440" w:top="102" w:right="1440" w:bottom="1440" w:gutter="0" w:footer="0" w:header="0"/>
          <w:type w:val="continuous"/>
        </w:sectPr>
      </w:pPr>
    </w:p>
    <w:bookmarkStart w:id="25" w:name="page26"/>
    <w:bookmarkEnd w:id="25"/>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0"/>
          <w:szCs w:val="10"/>
          <w:b w:val="1"/>
          <w:bCs w:val="1"/>
          <w:color w:val="auto"/>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34925</wp:posOffset>
            </wp:positionV>
            <wp:extent cx="194881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948815" cy="6350"/>
                    </a:xfrm>
                    <a:prstGeom prst="rect">
                      <a:avLst/>
                    </a:prstGeom>
                    <a:noFill/>
                  </pic:spPr>
                </pic:pic>
              </a:graphicData>
            </a:graphic>
          </wp:anchor>
        </w:drawing>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$.05 (or less) per ADS</w:t>
      </w:r>
    </w:p>
    <w:p>
      <w:pPr>
        <w:spacing w:after="0" w:line="32" w:lineRule="exact"/>
        <w:rPr>
          <w:sz w:val="20"/>
          <w:szCs w:val="20"/>
          <w:color w:val="auto"/>
        </w:rPr>
      </w:pPr>
    </w:p>
    <w:p>
      <w:pPr>
        <w:jc w:val="both"/>
        <w:ind w:left="1440" w:right="60"/>
        <w:spacing w:after="0" w:line="278" w:lineRule="auto"/>
        <w:rPr>
          <w:sz w:val="20"/>
          <w:szCs w:val="20"/>
          <w:color w:val="auto"/>
        </w:rPr>
      </w:pPr>
      <w:r>
        <w:rPr>
          <w:rFonts w:ascii="Times New Roman" w:cs="Times New Roman" w:eastAsia="Times New Roman" w:hAnsi="Times New Roman"/>
          <w:sz w:val="13"/>
          <w:szCs w:val="13"/>
          <w:color w:val="auto"/>
        </w:rPr>
        <w:t>A fee equivalent to the fee that would be payable if securities distributed to you had been shares and the shares had been deposited for issuance of ADSs</w:t>
      </w:r>
    </w:p>
    <w:p>
      <w:pPr>
        <w:spacing w:after="0" w:line="5" w:lineRule="exact"/>
        <w:rPr>
          <w:sz w:val="20"/>
          <w:szCs w:val="20"/>
          <w:color w:val="auto"/>
        </w:rPr>
      </w:pPr>
    </w:p>
    <w:p>
      <w:pPr>
        <w:ind w:left="1440" w:right="720"/>
        <w:spacing w:after="0" w:line="330" w:lineRule="auto"/>
        <w:rPr>
          <w:sz w:val="20"/>
          <w:szCs w:val="20"/>
          <w:color w:val="auto"/>
        </w:rPr>
      </w:pPr>
      <w:r>
        <w:rPr>
          <w:rFonts w:ascii="Times New Roman" w:cs="Times New Roman" w:eastAsia="Times New Roman" w:hAnsi="Times New Roman"/>
          <w:sz w:val="13"/>
          <w:szCs w:val="13"/>
          <w:color w:val="auto"/>
        </w:rPr>
        <w:t>$.05 (or less) per ADS per calendar year Registration or transfer fees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Expenses of the depositary</w:t>
      </w:r>
    </w:p>
    <w:p>
      <w:pPr>
        <w:spacing w:after="0" w:line="3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w:t>
      </w:r>
    </w:p>
    <w:p>
      <w:pPr>
        <w:spacing w:after="0" w:line="83" w:lineRule="exact"/>
        <w:rPr>
          <w:sz w:val="20"/>
          <w:szCs w:val="20"/>
          <w:color w:val="auto"/>
        </w:rPr>
      </w:pPr>
    </w:p>
    <w:p>
      <w:pPr>
        <w:ind w:left="1440"/>
        <w:spacing w:after="0" w:line="272" w:lineRule="auto"/>
        <w:rPr>
          <w:sz w:val="20"/>
          <w:szCs w:val="20"/>
          <w:color w:val="auto"/>
        </w:rPr>
      </w:pPr>
      <w:r>
        <w:rPr>
          <w:rFonts w:ascii="Times New Roman" w:cs="Times New Roman" w:eastAsia="Times New Roman" w:hAnsi="Times New Roman"/>
          <w:sz w:val="13"/>
          <w:szCs w:val="13"/>
          <w:color w:val="auto"/>
        </w:rPr>
        <w:t>Taxes and other governmental charges the depositary or the custodian has to pay on any ADSs or shares underlying ADSs, such as stock transfer taxes, stamp duty or withholding taxes</w:t>
      </w:r>
    </w:p>
    <w:p>
      <w:pPr>
        <w:spacing w:after="0" w:line="9" w:lineRule="exact"/>
        <w:rPr>
          <w:sz w:val="20"/>
          <w:szCs w:val="20"/>
          <w:color w:val="auto"/>
        </w:rPr>
      </w:pPr>
    </w:p>
    <w:p>
      <w:pPr>
        <w:ind w:left="1440" w:right="60"/>
        <w:spacing w:after="0" w:line="298" w:lineRule="auto"/>
        <w:rPr>
          <w:sz w:val="20"/>
          <w:szCs w:val="20"/>
          <w:color w:val="auto"/>
        </w:rPr>
      </w:pPr>
      <w:r>
        <w:rPr>
          <w:rFonts w:ascii="Times New Roman" w:cs="Times New Roman" w:eastAsia="Times New Roman" w:hAnsi="Times New Roman"/>
          <w:sz w:val="13"/>
          <w:szCs w:val="13"/>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30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For:</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Any cash distribution to ADS holders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2"/>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 Distribution of securities distributed to holders of</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2"/>
        </w:trPr>
        <w:tc>
          <w:tcPr>
            <w:tcW w:w="16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deposited securities (including rights) that are</w:t>
            </w:r>
          </w:p>
        </w:tc>
        <w:tc>
          <w:tcPr>
            <w:tcW w:w="2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distributed by the depositary to ADS holders</w:t>
            </w:r>
          </w:p>
        </w:tc>
        <w:tc>
          <w:tcPr>
            <w:tcW w:w="20" w:type="dxa"/>
            <w:vAlign w:val="bottom"/>
          </w:tcPr>
          <w:p>
            <w:pPr>
              <w:spacing w:after="0"/>
              <w:rPr>
                <w:sz w:val="14"/>
                <w:szCs w:val="14"/>
                <w:color w:val="auto"/>
              </w:rPr>
            </w:pPr>
          </w:p>
        </w:tc>
      </w:tr>
      <w:tr>
        <w:trPr>
          <w:trHeight w:val="202"/>
        </w:trPr>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Depositary services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2"/>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 Transfer and registration of shares on our share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2"/>
        </w:trPr>
        <w:tc>
          <w:tcPr>
            <w:tcW w:w="16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register to or from the name of the depositary or its</w:t>
            </w:r>
          </w:p>
        </w:tc>
        <w:tc>
          <w:tcPr>
            <w:tcW w:w="2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agent when you deposit or withdraw shares</w:t>
            </w:r>
          </w:p>
        </w:tc>
        <w:tc>
          <w:tcPr>
            <w:tcW w:w="20" w:type="dxa"/>
            <w:vAlign w:val="bottom"/>
          </w:tcPr>
          <w:p>
            <w:pPr>
              <w:spacing w:after="0"/>
              <w:rPr>
                <w:sz w:val="14"/>
                <w:szCs w:val="14"/>
                <w:color w:val="auto"/>
              </w:rPr>
            </w:pPr>
          </w:p>
        </w:tc>
      </w:tr>
      <w:tr>
        <w:trPr>
          <w:trHeight w:val="182"/>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 Cable (including SWIFT) and facsimile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2"/>
        </w:trPr>
        <w:tc>
          <w:tcPr>
            <w:tcW w:w="16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transmissions (when expressly provided in the</w:t>
            </w:r>
          </w:p>
        </w:tc>
        <w:tc>
          <w:tcPr>
            <w:tcW w:w="2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deposit agreement)</w:t>
            </w:r>
          </w:p>
        </w:tc>
        <w:tc>
          <w:tcPr>
            <w:tcW w:w="20" w:type="dxa"/>
            <w:vAlign w:val="bottom"/>
          </w:tcPr>
          <w:p>
            <w:pPr>
              <w:spacing w:after="0"/>
              <w:rPr>
                <w:sz w:val="14"/>
                <w:szCs w:val="14"/>
                <w:color w:val="auto"/>
              </w:rPr>
            </w:pPr>
          </w:p>
        </w:tc>
      </w:tr>
      <w:tr>
        <w:trPr>
          <w:trHeight w:val="212"/>
        </w:trPr>
        <w:tc>
          <w:tcPr>
            <w:tcW w:w="3080" w:type="dxa"/>
            <w:vAlign w:val="bottom"/>
            <w:gridSpan w:val="2"/>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Converting foreign currency to U.S. dollars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4"/>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 As necessary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686"/>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 As necessary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80" w:lineRule="exact"/>
        <w:rPr>
          <w:sz w:val="20"/>
          <w:szCs w:val="20"/>
          <w:color w:val="auto"/>
        </w:rPr>
      </w:pPr>
    </w:p>
    <w:p>
      <w:pPr>
        <w:sectPr>
          <w:pgSz w:w="11900" w:h="16838" w:orient="portrait"/>
          <w:cols w:equalWidth="0" w:num="2">
            <w:col w:w="4440" w:space="60"/>
            <w:col w:w="4519"/>
          </w:cols>
          <w:pgMar w:left="1440" w:top="102" w:right="1440" w:bottom="1440" w:gutter="0" w:footer="0" w:header="0"/>
        </w:sectPr>
      </w:pPr>
    </w:p>
    <w:p>
      <w:pPr>
        <w:jc w:val="both"/>
        <w:ind w:left="1440" w:right="1439" w:firstLine="269"/>
        <w:spacing w:after="0" w:line="252" w:lineRule="auto"/>
        <w:rPr>
          <w:sz w:val="20"/>
          <w:szCs w:val="20"/>
          <w:color w:val="auto"/>
        </w:rPr>
      </w:pPr>
      <w:r>
        <w:rPr>
          <w:rFonts w:ascii="Times New Roman" w:cs="Times New Roman" w:eastAsia="Times New Roman" w:hAnsi="Times New Roman"/>
          <w:sz w:val="13"/>
          <w:szCs w:val="13"/>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38" w:lineRule="exact"/>
        <w:rPr>
          <w:sz w:val="20"/>
          <w:szCs w:val="20"/>
          <w:color w:val="auto"/>
        </w:rPr>
      </w:pPr>
    </w:p>
    <w:p>
      <w:pPr>
        <w:jc w:val="both"/>
        <w:ind w:left="1440" w:right="1459" w:firstLine="269"/>
        <w:spacing w:after="0" w:line="258" w:lineRule="auto"/>
        <w:rPr>
          <w:sz w:val="20"/>
          <w:szCs w:val="20"/>
          <w:color w:val="auto"/>
        </w:rPr>
      </w:pPr>
      <w:r>
        <w:rPr>
          <w:rFonts w:ascii="Times New Roman" w:cs="Times New Roman" w:eastAsia="Times New Roman" w:hAnsi="Times New Roman"/>
          <w:sz w:val="13"/>
          <w:szCs w:val="13"/>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36" w:lineRule="exact"/>
        <w:rPr>
          <w:sz w:val="20"/>
          <w:szCs w:val="20"/>
          <w:color w:val="auto"/>
        </w:rPr>
      </w:pPr>
    </w:p>
    <w:p>
      <w:pPr>
        <w:jc w:val="both"/>
        <w:ind w:left="1440" w:right="1439" w:firstLine="269"/>
        <w:spacing w:after="0" w:line="252" w:lineRule="auto"/>
        <w:rPr>
          <w:sz w:val="20"/>
          <w:szCs w:val="20"/>
          <w:color w:val="auto"/>
        </w:rPr>
      </w:pPr>
      <w:r>
        <w:rPr>
          <w:rFonts w:ascii="Times New Roman" w:cs="Times New Roman" w:eastAsia="Times New Roman" w:hAnsi="Times New Roman"/>
          <w:sz w:val="13"/>
          <w:szCs w:val="13"/>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Payment of Taxes</w:t>
      </w:r>
    </w:p>
    <w:p>
      <w:pPr>
        <w:spacing w:after="0" w:line="117" w:lineRule="exact"/>
        <w:rPr>
          <w:sz w:val="20"/>
          <w:szCs w:val="20"/>
          <w:color w:val="auto"/>
        </w:rPr>
      </w:pPr>
    </w:p>
    <w:p>
      <w:pPr>
        <w:jc w:val="both"/>
        <w:ind w:left="1440" w:right="1459" w:firstLine="269"/>
        <w:spacing w:after="0" w:line="261" w:lineRule="auto"/>
        <w:rPr>
          <w:sz w:val="20"/>
          <w:szCs w:val="20"/>
          <w:color w:val="auto"/>
        </w:rPr>
      </w:pPr>
      <w:r>
        <w:rPr>
          <w:rFonts w:ascii="Times New Roman" w:cs="Times New Roman" w:eastAsia="Times New Roman" w:hAnsi="Times New Roman"/>
          <w:sz w:val="13"/>
          <w:szCs w:val="13"/>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26" w:name="page27"/>
    <w:bookmarkEnd w:id="26"/>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98" w:lineRule="auto"/>
        <w:rPr>
          <w:sz w:val="20"/>
          <w:szCs w:val="20"/>
          <w:color w:val="auto"/>
        </w:rPr>
      </w:pPr>
      <w:r>
        <w:rPr>
          <w:rFonts w:ascii="Times New Roman" w:cs="Times New Roman" w:eastAsia="Times New Roman" w:hAnsi="Times New Roman"/>
          <w:sz w:val="13"/>
          <w:szCs w:val="13"/>
          <w:color w:val="auto"/>
        </w:rPr>
        <w:t>securities, it will, if appropriate, reduce the number of ADSs to reflect the sale and pay to ADS holders any proceeds, or send to ADS holders any property, remaining after it has paid the taxes.</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Tender and Exchange Offers; Redemption, Replacement or Cancelation of Deposited Securities</w:t>
      </w:r>
    </w:p>
    <w:p>
      <w:pPr>
        <w:spacing w:after="0" w:line="127" w:lineRule="exact"/>
        <w:rPr>
          <w:sz w:val="20"/>
          <w:szCs w:val="20"/>
          <w:color w:val="auto"/>
        </w:rPr>
      </w:pPr>
    </w:p>
    <w:p>
      <w:pPr>
        <w:jc w:val="both"/>
        <w:ind w:left="1440" w:right="1459" w:firstLine="269"/>
        <w:spacing w:after="0" w:line="262" w:lineRule="auto"/>
        <w:rPr>
          <w:sz w:val="20"/>
          <w:szCs w:val="20"/>
          <w:color w:val="auto"/>
        </w:rPr>
      </w:pPr>
      <w:r>
        <w:rPr>
          <w:rFonts w:ascii="Times New Roman" w:cs="Times New Roman" w:eastAsia="Times New Roman" w:hAnsi="Times New Roman"/>
          <w:sz w:val="13"/>
          <w:szCs w:val="13"/>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76" w:lineRule="exact"/>
        <w:rPr>
          <w:sz w:val="20"/>
          <w:szCs w:val="20"/>
          <w:color w:val="auto"/>
        </w:rPr>
      </w:pPr>
    </w:p>
    <w:p>
      <w:pPr>
        <w:jc w:val="both"/>
        <w:ind w:left="1440" w:right="1459" w:firstLine="269"/>
        <w:spacing w:after="0" w:line="270" w:lineRule="auto"/>
        <w:rPr>
          <w:sz w:val="20"/>
          <w:szCs w:val="20"/>
          <w:color w:val="auto"/>
        </w:rPr>
      </w:pPr>
      <w:r>
        <w:rPr>
          <w:rFonts w:ascii="Times New Roman" w:cs="Times New Roman" w:eastAsia="Times New Roman" w:hAnsi="Times New Roman"/>
          <w:sz w:val="13"/>
          <w:szCs w:val="13"/>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71"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240"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34" w:lineRule="exact"/>
        <w:rPr>
          <w:sz w:val="20"/>
          <w:szCs w:val="20"/>
          <w:color w:val="auto"/>
        </w:rPr>
      </w:pPr>
    </w:p>
    <w:p>
      <w:pPr>
        <w:jc w:val="both"/>
        <w:ind w:left="1440" w:right="1459" w:firstLine="269"/>
        <w:spacing w:after="0" w:line="270" w:lineRule="auto"/>
        <w:rPr>
          <w:sz w:val="20"/>
          <w:szCs w:val="20"/>
          <w:color w:val="auto"/>
        </w:rPr>
      </w:pPr>
      <w:r>
        <w:rPr>
          <w:rFonts w:ascii="Times New Roman" w:cs="Times New Roman" w:eastAsia="Times New Roman" w:hAnsi="Times New Roman"/>
          <w:sz w:val="13"/>
          <w:szCs w:val="13"/>
          <w:color w:val="auto"/>
        </w:rPr>
        <w:t>If there are no deposited securities underlying ADSs, including if the deposited securities are canceled, or if the deposited securities underlying ADSs have become apparently worthless, the depositary may call for surrender of those ADSs or cancel those ADSs upon notice to the ADS holders.</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Amendment and Termination</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How may the deposit agreement be amended?</w:t>
      </w:r>
    </w:p>
    <w:p>
      <w:pPr>
        <w:spacing w:after="0" w:line="127" w:lineRule="exact"/>
        <w:rPr>
          <w:sz w:val="20"/>
          <w:szCs w:val="20"/>
          <w:color w:val="auto"/>
        </w:rPr>
      </w:pPr>
    </w:p>
    <w:p>
      <w:pPr>
        <w:jc w:val="both"/>
        <w:ind w:left="1440" w:right="1459" w:firstLine="269"/>
        <w:spacing w:after="0" w:line="251" w:lineRule="auto"/>
        <w:rPr>
          <w:sz w:val="20"/>
          <w:szCs w:val="20"/>
          <w:color w:val="auto"/>
        </w:rPr>
      </w:pPr>
      <w:r>
        <w:rPr>
          <w:rFonts w:ascii="Times New Roman" w:cs="Times New Roman" w:eastAsia="Times New Roman" w:hAnsi="Times New Roman"/>
          <w:sz w:val="13"/>
          <w:szCs w:val="13"/>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 w:cs="Times New Roman" w:eastAsia="Times New Roman" w:hAnsi="Times New Roman"/>
          <w:sz w:val="13"/>
          <w:szCs w:val="13"/>
          <w:i w:val="1"/>
          <w:iCs w:val="1"/>
          <w:color w:val="auto"/>
        </w:rPr>
        <w:t>At the time an amendment becomes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effective, you are considered, by continuing to hold your ADSs, to agree to the amendment and to be bound</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i w:val="1"/>
          <w:iCs w:val="1"/>
          <w:color w:val="auto"/>
        </w:rPr>
        <w:t>by the ADRs and the deposit agreement as amended</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How may the deposit agreement be terminated?</w:t>
      </w:r>
    </w:p>
    <w:p>
      <w:pPr>
        <w:spacing w:after="0" w:line="127"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The depositary will initiate termination of the deposit agreement if we instruct it to do so. The depositary may initiate termination of the deposit agreement if</w:t>
      </w:r>
    </w:p>
    <w:p>
      <w:pPr>
        <w:spacing w:after="0" w:line="33" w:lineRule="exact"/>
        <w:rPr>
          <w:sz w:val="20"/>
          <w:szCs w:val="20"/>
          <w:color w:val="auto"/>
        </w:rPr>
      </w:pPr>
    </w:p>
    <w:p>
      <w:pPr>
        <w:ind w:left="1840" w:right="1459" w:hanging="136"/>
        <w:spacing w:after="0" w:line="298" w:lineRule="auto"/>
        <w:tabs>
          <w:tab w:leader="none" w:pos="18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60 days have passed since the depositary told us it wants to resign but a successor depositary has not been appointed and accepted its appointment;</w:t>
      </w:r>
    </w:p>
    <w:p>
      <w:pPr>
        <w:spacing w:after="0" w:line="32" w:lineRule="exact"/>
        <w:rPr>
          <w:rFonts w:ascii="Times New Roman" w:cs="Times New Roman" w:eastAsia="Times New Roman" w:hAnsi="Times New Roman"/>
          <w:sz w:val="13"/>
          <w:szCs w:val="13"/>
          <w:color w:val="auto"/>
        </w:rPr>
      </w:pPr>
    </w:p>
    <w:p>
      <w:pPr>
        <w:jc w:val="both"/>
        <w:ind w:left="1840" w:right="1459" w:hanging="136"/>
        <w:spacing w:after="0" w:line="278" w:lineRule="auto"/>
        <w:tabs>
          <w:tab w:leader="none" w:pos="18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45"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delist our shares from an exchange outside the United States on which they were listed and do not list the shares on another exchange outside the United States;</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depositary has reason to believe the ADSs have become, or will become, ineligible for registration on Form F-6 under the Securities Act of 1933;</w:t>
      </w: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7" w:name="page28"/>
    <w:bookmarkEnd w:id="27"/>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40" w:hanging="136"/>
        <w:spacing w:after="0"/>
        <w:tabs>
          <w:tab w:leader="none" w:pos="18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appear to be insolvent or enter insolvency proceedings;</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or substantially all the value of the deposited securities has been distributed either in cash or in the form of securities;</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deposited securities underlying the ADSs or the underlying deposited securities have become apparently worthless; or</w:t>
      </w:r>
    </w:p>
    <w:p>
      <w:pPr>
        <w:spacing w:after="0" w:line="2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been a replacement of deposited securities.</w:t>
      </w:r>
    </w:p>
    <w:p>
      <w:pPr>
        <w:spacing w:after="0" w:line="123" w:lineRule="exact"/>
        <w:rPr>
          <w:sz w:val="20"/>
          <w:szCs w:val="20"/>
          <w:color w:val="auto"/>
        </w:rPr>
      </w:pPr>
    </w:p>
    <w:p>
      <w:pPr>
        <w:jc w:val="both"/>
        <w:ind w:left="1440" w:right="1459" w:firstLine="269"/>
        <w:spacing w:after="0" w:line="258" w:lineRule="auto"/>
        <w:rPr>
          <w:sz w:val="20"/>
          <w:szCs w:val="20"/>
          <w:color w:val="auto"/>
        </w:rPr>
      </w:pPr>
      <w:r>
        <w:rPr>
          <w:rFonts w:ascii="Times New Roman" w:cs="Times New Roman" w:eastAsia="Times New Roman" w:hAnsi="Times New Roman"/>
          <w:sz w:val="13"/>
          <w:szCs w:val="13"/>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236" w:lineRule="exact"/>
        <w:rPr>
          <w:sz w:val="20"/>
          <w:szCs w:val="20"/>
          <w:color w:val="auto"/>
        </w:rPr>
      </w:pPr>
    </w:p>
    <w:p>
      <w:pPr>
        <w:jc w:val="both"/>
        <w:ind w:left="1440" w:right="1439" w:firstLine="269"/>
        <w:spacing w:after="0" w:line="252" w:lineRule="auto"/>
        <w:rPr>
          <w:sz w:val="20"/>
          <w:szCs w:val="20"/>
          <w:color w:val="auto"/>
        </w:rPr>
      </w:pPr>
      <w:r>
        <w:rPr>
          <w:rFonts w:ascii="Times New Roman" w:cs="Times New Roman" w:eastAsia="Times New Roman" w:hAnsi="Times New Roman"/>
          <w:sz w:val="13"/>
          <w:szCs w:val="13"/>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Limitations on Obligations and Liability</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The deposit agreement expressly limits our obligations and the obligations of the depositary. It also limits our liability and the liability of the depositary. We and the depositary:</w:t>
      </w:r>
    </w:p>
    <w:p>
      <w:pPr>
        <w:spacing w:after="0" w:line="22" w:lineRule="exact"/>
        <w:rPr>
          <w:sz w:val="20"/>
          <w:szCs w:val="20"/>
          <w:color w:val="auto"/>
        </w:rPr>
      </w:pPr>
    </w:p>
    <w:p>
      <w:pPr>
        <w:jc w:val="both"/>
        <w:ind w:left="1840" w:right="1459" w:hanging="136"/>
        <w:spacing w:after="0" w:line="291" w:lineRule="auto"/>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only obligated to take the actions specifically set forth in the deposit agreement without negligence or bad faith, and the depositary will not be a fiduciary or have any fiduciary duty to holders of ADSs;</w:t>
      </w:r>
    </w:p>
    <w:p>
      <w:pPr>
        <w:spacing w:after="0" w:line="1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if we are or it is prevented or delayed by law or by events or circumstances beyond our or its control from performing our or its obligations under the deposit agreement;</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if we or it exercises discretion permitted under the deposit agreement;</w:t>
      </w:r>
    </w:p>
    <w:p>
      <w:pPr>
        <w:spacing w:after="0" w:line="92" w:lineRule="exact"/>
        <w:rPr>
          <w:rFonts w:ascii="Times New Roman" w:cs="Times New Roman" w:eastAsia="Times New Roman" w:hAnsi="Times New Roman"/>
          <w:sz w:val="13"/>
          <w:szCs w:val="13"/>
          <w:color w:val="auto"/>
        </w:rPr>
      </w:pPr>
    </w:p>
    <w:p>
      <w:pPr>
        <w:jc w:val="both"/>
        <w:ind w:left="1840" w:right="1459" w:hanging="136"/>
        <w:spacing w:after="0" w:line="276" w:lineRule="auto"/>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01"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no obligation to become involved in a lawsuit or other proceeding related to the ADSs or the deposit agreement on your behalf or on behalf of any other person;</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rely upon any documents we believe or it believes in good faith to be genuine and to have been signed or presented by the proper person;</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69" w:lineRule="auto"/>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for the acts or omissions of any securities depository, clearing agency or settlement system; and</w:t>
      </w:r>
    </w:p>
    <w:p>
      <w:pPr>
        <w:spacing w:after="0" w:line="236" w:lineRule="exact"/>
        <w:rPr>
          <w:rFonts w:ascii="Times New Roman" w:cs="Times New Roman" w:eastAsia="Times New Roman" w:hAnsi="Times New Roman"/>
          <w:sz w:val="13"/>
          <w:szCs w:val="13"/>
          <w:color w:val="auto"/>
        </w:rPr>
      </w:pPr>
    </w:p>
    <w:p>
      <w:pPr>
        <w:jc w:val="both"/>
        <w:ind w:left="1840" w:right="1459" w:hanging="136"/>
        <w:spacing w:after="0" w:line="271" w:lineRule="auto"/>
        <w:tabs>
          <w:tab w:leader="none" w:pos="18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233" w:lineRule="exact"/>
        <w:rPr>
          <w:sz w:val="20"/>
          <w:szCs w:val="20"/>
          <w:color w:val="auto"/>
        </w:rPr>
      </w:pPr>
    </w:p>
    <w:p>
      <w:pPr>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In the deposit agreement, we and the depositary agree to indemnify each other under certain circumstances.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8" w:name="page29"/>
    <w:bookmarkEnd w:id="28"/>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Requirements for Depositary Actions</w:t>
      </w:r>
    </w:p>
    <w:p>
      <w:pPr>
        <w:spacing w:after="0" w:line="127" w:lineRule="exact"/>
        <w:rPr>
          <w:sz w:val="20"/>
          <w:szCs w:val="20"/>
          <w:color w:val="auto"/>
        </w:rPr>
      </w:pPr>
    </w:p>
    <w:p>
      <w:pPr>
        <w:ind w:left="1440" w:right="1459" w:firstLine="269"/>
        <w:spacing w:after="0" w:line="314" w:lineRule="auto"/>
        <w:rPr>
          <w:sz w:val="20"/>
          <w:szCs w:val="20"/>
          <w:color w:val="auto"/>
        </w:rPr>
      </w:pPr>
      <w:r>
        <w:rPr>
          <w:rFonts w:ascii="Times New Roman" w:cs="Times New Roman" w:eastAsia="Times New Roman" w:hAnsi="Times New Roman"/>
          <w:sz w:val="13"/>
          <w:szCs w:val="13"/>
          <w:color w:val="auto"/>
        </w:rPr>
        <w:t>Before the depositary will deliver or register a transfer of ADSs, make a distribution on ADSs, or permit withdrawal of shares, the depositary may require:</w:t>
      </w:r>
    </w:p>
    <w:p>
      <w:pPr>
        <w:spacing w:after="0" w:line="33" w:lineRule="exact"/>
        <w:rPr>
          <w:sz w:val="20"/>
          <w:szCs w:val="20"/>
          <w:color w:val="auto"/>
        </w:rPr>
      </w:pPr>
    </w:p>
    <w:p>
      <w:pPr>
        <w:ind w:left="1840" w:right="1459" w:hanging="136"/>
        <w:spacing w:after="0" w:line="298" w:lineRule="auto"/>
        <w:tabs>
          <w:tab w:leader="none" w:pos="18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of stock transfer or other taxes or other governmental charges and transfer or registration fees charged by third parties for the transfer of any shares or other deposited securities;</w:t>
      </w:r>
    </w:p>
    <w:p>
      <w:pPr>
        <w:spacing w:after="0" w:line="4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satisfactory proof of the identity and genuineness of any signature or other information it deems necessary; and</w:t>
      </w:r>
    </w:p>
    <w:p>
      <w:pPr>
        <w:spacing w:after="0" w:line="4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regulations it may establish, from time to time, consistent with the deposit agreement, including presentation of transfer documents.</w:t>
      </w:r>
    </w:p>
    <w:p>
      <w:pPr>
        <w:spacing w:after="0" w:line="53" w:lineRule="exact"/>
        <w:rPr>
          <w:sz w:val="20"/>
          <w:szCs w:val="20"/>
          <w:color w:val="auto"/>
        </w:rPr>
      </w:pPr>
    </w:p>
    <w:p>
      <w:pPr>
        <w:ind w:left="1440" w:right="1459" w:firstLine="269"/>
        <w:spacing w:after="0" w:line="314" w:lineRule="auto"/>
        <w:rPr>
          <w:sz w:val="20"/>
          <w:szCs w:val="20"/>
          <w:color w:val="auto"/>
        </w:rPr>
      </w:pPr>
      <w:r>
        <w:rPr>
          <w:rFonts w:ascii="Times New Roman" w:cs="Times New Roman" w:eastAsia="Times New Roman" w:hAnsi="Times New Roman"/>
          <w:sz w:val="13"/>
          <w:szCs w:val="13"/>
          <w:color w:val="auto"/>
        </w:rPr>
        <w:t>The depositary may refuse to deliver ADSs or register transfers of ADSs when the transfer books of the depositary or our transfer books are closed or at any time if the depositary or we think it advisable to do so.</w:t>
      </w:r>
    </w:p>
    <w:p>
      <w:pPr>
        <w:spacing w:after="0" w:line="1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Your Right to Receive the Shares Underlying your ADSs</w:t>
      </w:r>
    </w:p>
    <w:p>
      <w:pPr>
        <w:spacing w:after="0" w:line="117" w:lineRule="exact"/>
        <w:rPr>
          <w:sz w:val="20"/>
          <w:szCs w:val="20"/>
          <w:color w:val="auto"/>
        </w:rPr>
      </w:pPr>
    </w:p>
    <w:p>
      <w:pPr>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ADS holders have the right to cancel their ADSs and withdraw the underlying shares at any time except:</w:t>
      </w:r>
    </w:p>
    <w:p>
      <w:pPr>
        <w:spacing w:after="0" w:line="246" w:lineRule="exact"/>
        <w:rPr>
          <w:sz w:val="20"/>
          <w:szCs w:val="20"/>
          <w:color w:val="auto"/>
        </w:rPr>
      </w:pPr>
    </w:p>
    <w:p>
      <w:pPr>
        <w:jc w:val="both"/>
        <w:ind w:left="1840" w:right="1459" w:hanging="136"/>
        <w:spacing w:after="0" w:line="278" w:lineRule="auto"/>
        <w:tabs>
          <w:tab w:leader="none" w:pos="18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5"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you owe money to pay fees, taxes and similar charges; or</w:t>
      </w:r>
    </w:p>
    <w:p>
      <w:pPr>
        <w:spacing w:after="0" w:line="10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it is necessary to prohibit withdrawals in order to comply with any laws or governmental regulations that apply to ADSs or to the withdrawal of shares or other deposited securities.</w:t>
      </w:r>
    </w:p>
    <w:p>
      <w:pPr>
        <w:spacing w:after="0" w:line="5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This right of withdrawal may not be limited by any other provision of the deposit agreement.</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Direct Registration System</w:t>
      </w:r>
    </w:p>
    <w:p>
      <w:pPr>
        <w:spacing w:after="0" w:line="127" w:lineRule="exact"/>
        <w:rPr>
          <w:sz w:val="20"/>
          <w:szCs w:val="20"/>
          <w:color w:val="auto"/>
        </w:rPr>
      </w:pPr>
    </w:p>
    <w:p>
      <w:pPr>
        <w:jc w:val="both"/>
        <w:ind w:left="1440" w:right="1459" w:firstLine="269"/>
        <w:spacing w:after="0" w:line="277" w:lineRule="auto"/>
        <w:rPr>
          <w:sz w:val="20"/>
          <w:szCs w:val="20"/>
          <w:color w:val="auto"/>
        </w:rPr>
      </w:pPr>
      <w:r>
        <w:rPr>
          <w:rFonts w:ascii="Times New Roman" w:cs="Times New Roman" w:eastAsia="Times New Roman" w:hAnsi="Times New Roman"/>
          <w:sz w:val="13"/>
          <w:szCs w:val="13"/>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46" w:lineRule="exact"/>
        <w:rPr>
          <w:sz w:val="20"/>
          <w:szCs w:val="20"/>
          <w:color w:val="auto"/>
        </w:rPr>
      </w:pPr>
    </w:p>
    <w:p>
      <w:pPr>
        <w:jc w:val="both"/>
        <w:ind w:left="1440" w:right="1459" w:firstLine="269"/>
        <w:spacing w:after="0" w:line="274" w:lineRule="auto"/>
        <w:rPr>
          <w:sz w:val="20"/>
          <w:szCs w:val="20"/>
          <w:color w:val="auto"/>
        </w:rPr>
      </w:pPr>
      <w:r>
        <w:rPr>
          <w:rFonts w:ascii="Times New Roman" w:cs="Times New Roman" w:eastAsia="Times New Roman" w:hAnsi="Times New Roman"/>
          <w:sz w:val="13"/>
          <w:szCs w:val="13"/>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3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Shareholder communications; inspection of register of holders of ADSs</w:t>
      </w:r>
    </w:p>
    <w:p>
      <w:pPr>
        <w:spacing w:after="0" w:line="127" w:lineRule="exact"/>
        <w:rPr>
          <w:sz w:val="20"/>
          <w:szCs w:val="20"/>
          <w:color w:val="auto"/>
        </w:rPr>
      </w:pPr>
    </w:p>
    <w:p>
      <w:pPr>
        <w:jc w:val="both"/>
        <w:ind w:left="1440" w:right="1439" w:firstLine="269"/>
        <w:spacing w:after="0" w:line="277" w:lineRule="auto"/>
        <w:rPr>
          <w:sz w:val="20"/>
          <w:szCs w:val="20"/>
          <w:color w:val="auto"/>
        </w:rPr>
      </w:pPr>
      <w:r>
        <w:rPr>
          <w:rFonts w:ascii="Times New Roman" w:cs="Times New Roman" w:eastAsia="Times New Roman" w:hAnsi="Times New Roman"/>
          <w:sz w:val="13"/>
          <w:szCs w:val="13"/>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195580</wp:posOffset>
            </wp:positionV>
            <wp:extent cx="511556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9" w:name="page30"/>
    <w:bookmarkEnd w:id="29"/>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Waiver of Jury Trial</w:t>
      </w:r>
    </w:p>
    <w:p>
      <w:pPr>
        <w:spacing w:after="0" w:line="127"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72" w:lineRule="exact"/>
        <w:rPr>
          <w:sz w:val="20"/>
          <w:szCs w:val="20"/>
          <w:color w:val="auto"/>
        </w:rPr>
      </w:pPr>
    </w:p>
    <w:p>
      <w:pPr>
        <w:jc w:val="both"/>
        <w:ind w:left="1440" w:right="1439" w:firstLine="269"/>
        <w:spacing w:after="0" w:line="266" w:lineRule="auto"/>
        <w:rPr>
          <w:sz w:val="20"/>
          <w:szCs w:val="20"/>
          <w:color w:val="auto"/>
        </w:rPr>
      </w:pPr>
      <w:r>
        <w:rPr>
          <w:rFonts w:ascii="Times New Roman" w:cs="Times New Roman" w:eastAsia="Times New Roman" w:hAnsi="Times New Roman"/>
          <w:sz w:val="13"/>
          <w:szCs w:val="13"/>
          <w:b w:val="1"/>
          <w:bCs w:val="1"/>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If we or the depositary opposed a jury trial demand based on the waiver, the court would determine whether the waiver was enforceable on the facts and circumstances of that case in accordance with applicable case law. However, you cannot waive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0" w:name="page31"/>
    <w:bookmarkEnd w:id="30"/>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PREFERRED SHARES</w:t>
      </w:r>
    </w:p>
    <w:p>
      <w:pPr>
        <w:spacing w:after="0" w:line="127" w:lineRule="exact"/>
        <w:rPr>
          <w:sz w:val="20"/>
          <w:szCs w:val="20"/>
          <w:color w:val="auto"/>
        </w:rPr>
      </w:pPr>
    </w:p>
    <w:p>
      <w:pPr>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The particular terms of each issue or series of preferred shares will be described in the related prospectus supplement. This description will include, where applicable, a description of:</w:t>
      </w:r>
    </w:p>
    <w:p>
      <w:pPr>
        <w:spacing w:after="0" w:line="33" w:lineRule="exact"/>
        <w:rPr>
          <w:sz w:val="20"/>
          <w:szCs w:val="20"/>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and nominal value of the preferred shares;</w:t>
      </w:r>
    </w:p>
    <w:p>
      <w:pPr>
        <w:spacing w:after="0" w:line="10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preferred shares we are offering;</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liquidation preference per preferred share, if any;</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 price per preferred share (or if applicable, the calculation formula of the issue price per preferred share);</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preferential subscription rights will be issued to existing shareholders;</w:t>
      </w:r>
    </w:p>
    <w:p>
      <w:pPr>
        <w:spacing w:after="0" w:line="102" w:lineRule="exact"/>
        <w:rPr>
          <w:rFonts w:ascii="Times New Roman" w:cs="Times New Roman" w:eastAsia="Times New Roman" w:hAnsi="Times New Roman"/>
          <w:sz w:val="13"/>
          <w:szCs w:val="13"/>
          <w:color w:val="auto"/>
        </w:rPr>
      </w:pPr>
    </w:p>
    <w:p>
      <w:pPr>
        <w:ind w:left="1840" w:right="1439" w:hanging="136"/>
        <w:spacing w:after="0" w:line="29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dividend rate per preferred share, dividend period and payment dates and method of calculation for dividends;</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dividends will be cumulative or non-cumulative and, if cumulative, the date from which dividends will accumulate;</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right, if any, to defer payment of dividends and the maximum length of any such deferral period;</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relative ranking and preferences of the preferred shares as to dividend rights (preferred dividend if any) and rights if we liquidate, dissolve or wind up the Company;</w:t>
      </w:r>
    </w:p>
    <w:p>
      <w:pPr>
        <w:spacing w:after="0" w:line="4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procedures for any auction and remarketing, if any;</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for redemption or repurchase, if applicable, and any restrictions on our ability to exercise those redemption and repurchase rights;</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listing of the preferred shares on any securities exchange or market;</w:t>
      </w:r>
    </w:p>
    <w:p>
      <w:pPr>
        <w:spacing w:after="0" w:line="92" w:lineRule="exact"/>
        <w:rPr>
          <w:rFonts w:ascii="Times New Roman" w:cs="Times New Roman" w:eastAsia="Times New Roman" w:hAnsi="Times New Roman"/>
          <w:sz w:val="13"/>
          <w:szCs w:val="13"/>
          <w:color w:val="auto"/>
        </w:rPr>
      </w:pPr>
    </w:p>
    <w:p>
      <w:pPr>
        <w:jc w:val="both"/>
        <w:ind w:left="1840" w:right="1439" w:hanging="136"/>
        <w:spacing w:after="0" w:line="269"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preferred shares will be convertible into our ordinary shares (including ordinary shares represented by ADSs) or preferred shares of another category, and, if applicable, conditions of an automatic conversion into ordinary shares (including ordinary shares represented by ADSs), if any, the conversion period, the conversion price, or how such price will be calculated, and under what circumstances it may be adjusted;</w:t>
      </w:r>
    </w:p>
    <w:p>
      <w:pPr>
        <w:spacing w:after="0" w:line="60"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voting rights, if any, of the preferred shares;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preemption rights, if any;</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restrictions on transfer, sale or assignment, if any;</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interests in the preferred shares will be represented by depositary shares;</w:t>
      </w:r>
    </w:p>
    <w:p>
      <w:pPr>
        <w:spacing w:after="0" w:line="10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any material or special Cayman Islands or United States federal income tax considerations applicable to the preferred shares;</w:t>
      </w:r>
    </w:p>
    <w:p>
      <w:pPr>
        <w:spacing w:after="0" w:line="32" w:lineRule="exact"/>
        <w:rPr>
          <w:rFonts w:ascii="Times New Roman" w:cs="Times New Roman" w:eastAsia="Times New Roman" w:hAnsi="Times New Roman"/>
          <w:sz w:val="13"/>
          <w:szCs w:val="13"/>
          <w:color w:val="auto"/>
        </w:rPr>
      </w:pPr>
    </w:p>
    <w:p>
      <w:pPr>
        <w:jc w:val="both"/>
        <w:ind w:left="1840" w:right="1459" w:hanging="136"/>
        <w:spacing w:after="0" w:line="27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45" w:lineRule="exact"/>
        <w:rPr>
          <w:rFonts w:ascii="Times New Roman" w:cs="Times New Roman" w:eastAsia="Times New Roman" w:hAnsi="Times New Roman"/>
          <w:sz w:val="13"/>
          <w:szCs w:val="13"/>
          <w:color w:val="auto"/>
        </w:rPr>
      </w:pPr>
    </w:p>
    <w:p>
      <w:pPr>
        <w:ind w:left="1840" w:right="1439" w:hanging="136"/>
        <w:spacing w:after="0" w:line="298"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rights attached to the preferred shares regarding the corporate governance of our company, which may include, for example representation rights to the board of directors; and</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69" w:lineRule="auto"/>
        <w:tabs>
          <w:tab w:leader="none" w:pos="18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specific terms, rights, preferences, privileges, qualifications or restrictions of the preferred shares.</w:t>
      </w:r>
    </w:p>
    <w:p>
      <w:pPr>
        <w:spacing w:after="0" w:line="267" w:lineRule="exact"/>
        <w:rPr>
          <w:sz w:val="20"/>
          <w:szCs w:val="20"/>
          <w:color w:val="auto"/>
        </w:rPr>
      </w:pPr>
    </w:p>
    <w:p>
      <w:pPr>
        <w:jc w:val="both"/>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Our board of directors may cause the Company to issue from time to time, out of the authorized share capital of the Company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1" w:name="page32"/>
    <w:bookmarkEnd w:id="31"/>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firstLine="269"/>
        <w:spacing w:after="0" w:line="291" w:lineRule="auto"/>
        <w:rPr>
          <w:sz w:val="20"/>
          <w:szCs w:val="20"/>
          <w:color w:val="auto"/>
        </w:rPr>
      </w:pPr>
      <w:r>
        <w:rPr>
          <w:rFonts w:ascii="Times New Roman" w:cs="Times New Roman" w:eastAsia="Times New Roman" w:hAnsi="Times New Roman"/>
          <w:sz w:val="13"/>
          <w:szCs w:val="13"/>
          <w:color w:val="auto"/>
        </w:rPr>
        <w:t>When we issue preferred shares under this prospectus and the applicable prospectus supplement, the shares will be fully paid and non-assessable and will not have, or be subject to, any preemptive or similar rights.</w:t>
      </w:r>
    </w:p>
    <w:p>
      <w:pPr>
        <w:spacing w:after="0" w:line="233" w:lineRule="exact"/>
        <w:rPr>
          <w:sz w:val="20"/>
          <w:szCs w:val="20"/>
          <w:color w:val="auto"/>
        </w:rPr>
      </w:pPr>
    </w:p>
    <w:p>
      <w:pPr>
        <w:jc w:val="both"/>
        <w:ind w:left="1440" w:right="1439" w:firstLine="269"/>
        <w:spacing w:after="0" w:line="271" w:lineRule="auto"/>
        <w:rPr>
          <w:sz w:val="20"/>
          <w:szCs w:val="20"/>
          <w:color w:val="auto"/>
        </w:rPr>
      </w:pPr>
      <w:r>
        <w:rPr>
          <w:rFonts w:ascii="Times New Roman" w:cs="Times New Roman" w:eastAsia="Times New Roman" w:hAnsi="Times New Roman"/>
          <w:sz w:val="13"/>
          <w:szCs w:val="13"/>
          <w:color w:val="auto"/>
        </w:rPr>
        <w:t>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2" w:name="page33"/>
    <w:bookmarkEnd w:id="32"/>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WARRANTS</w:t>
      </w:r>
    </w:p>
    <w:p>
      <w:pPr>
        <w:spacing w:after="0" w:line="127"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27" w:lineRule="exact"/>
        <w:rPr>
          <w:sz w:val="20"/>
          <w:szCs w:val="20"/>
          <w:color w:val="auto"/>
        </w:rPr>
      </w:pPr>
    </w:p>
    <w:p>
      <w:pPr>
        <w:jc w:val="both"/>
        <w:ind w:left="1440" w:right="1459" w:firstLine="269"/>
        <w:spacing w:after="0" w:line="265" w:lineRule="auto"/>
        <w:rPr>
          <w:sz w:val="20"/>
          <w:szCs w:val="20"/>
          <w:color w:val="auto"/>
        </w:rPr>
      </w:pPr>
      <w:r>
        <w:rPr>
          <w:rFonts w:ascii="Times New Roman" w:cs="Times New Roman" w:eastAsia="Times New Roman" w:hAnsi="Times New Roman"/>
          <w:sz w:val="13"/>
          <w:szCs w:val="13"/>
          <w:color w:val="auto"/>
        </w:rPr>
        <w:t>We may issue warrants to purchase ordinary shares, including ordinary shares that may be deposited for delivery of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76"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The applicable prospectus supplement will describe the following terms of any warrants in respect of which this prospectus is being delivered:</w:t>
      </w:r>
    </w:p>
    <w:p>
      <w:pPr>
        <w:spacing w:after="0" w:line="33" w:lineRule="exact"/>
        <w:rPr>
          <w:sz w:val="20"/>
          <w:szCs w:val="20"/>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such warrants;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such warrants;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at which such warrants will be issued and exercised;</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 which the price of such warrants will be payable;</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purchasable upon exercise of such warrants;</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such warrants shall commence and the date on which such right shall expire;</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69" w:lineRule="auto"/>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minimum or maximum amount of such warrants which may be exercised at any one time;</w:t>
      </w:r>
    </w:p>
    <w:p>
      <w:pPr>
        <w:spacing w:after="0" w:line="236"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designation and terms of the securities with which such warrants are issued and the number of such warrants issued with each such security;</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date on and after which such warrants and the related securities will be separately transferable;</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with respect to book-entry procedures, if any;</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material Cayman Islands or United States federal income tax consequences;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antidilution provisions of the warrants, if any; and</w:t>
      </w:r>
    </w:p>
    <w:p>
      <w:pPr>
        <w:spacing w:after="0" w:line="123" w:lineRule="exact"/>
        <w:rPr>
          <w:sz w:val="20"/>
          <w:szCs w:val="20"/>
          <w:color w:val="auto"/>
        </w:rPr>
      </w:pPr>
    </w:p>
    <w:p>
      <w:pPr>
        <w:jc w:val="both"/>
        <w:ind w:left="1440" w:right="1459"/>
        <w:spacing w:after="0" w:line="298" w:lineRule="auto"/>
        <w:rPr>
          <w:sz w:val="20"/>
          <w:szCs w:val="20"/>
          <w:color w:val="auto"/>
        </w:rPr>
      </w:pPr>
      <w:r>
        <w:rPr>
          <w:rFonts w:ascii="Times New Roman" w:cs="Times New Roman" w:eastAsia="Times New Roman" w:hAnsi="Times New Roman"/>
          <w:sz w:val="13"/>
          <w:szCs w:val="13"/>
          <w:color w:val="auto"/>
        </w:rPr>
        <w:t>any other terms of such warrants, including terms, procedures and limitations relating to the exchange and exercise of such warrants.</w:t>
      </w:r>
    </w:p>
    <w:p>
      <w:pPr>
        <w:spacing w:after="0" w:line="10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Amendments and Supplements to Warrant Agreement</w:t>
      </w:r>
    </w:p>
    <w:p>
      <w:pPr>
        <w:spacing w:after="0" w:line="127" w:lineRule="exact"/>
        <w:rPr>
          <w:sz w:val="20"/>
          <w:szCs w:val="20"/>
          <w:color w:val="auto"/>
        </w:rPr>
      </w:pPr>
    </w:p>
    <w:p>
      <w:pPr>
        <w:jc w:val="both"/>
        <w:ind w:left="1440" w:right="1459" w:firstLine="269"/>
        <w:spacing w:after="0" w:line="276" w:lineRule="auto"/>
        <w:rPr>
          <w:sz w:val="20"/>
          <w:szCs w:val="20"/>
          <w:color w:val="auto"/>
        </w:rPr>
      </w:pPr>
      <w:r>
        <w:rPr>
          <w:rFonts w:ascii="Times New Roman" w:cs="Times New Roman" w:eastAsia="Times New Roman" w:hAnsi="Times New Roman"/>
          <w:sz w:val="13"/>
          <w:szCs w:val="13"/>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3" w:name="page34"/>
    <w:bookmarkEnd w:id="33"/>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DEBT SECURITIES</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27" w:lineRule="exact"/>
        <w:rPr>
          <w:sz w:val="20"/>
          <w:szCs w:val="20"/>
          <w:color w:val="auto"/>
        </w:rPr>
      </w:pPr>
    </w:p>
    <w:p>
      <w:pPr>
        <w:jc w:val="both"/>
        <w:ind w:left="1440" w:right="1459" w:firstLine="269"/>
        <w:spacing w:after="0" w:line="256" w:lineRule="auto"/>
        <w:rPr>
          <w:sz w:val="20"/>
          <w:szCs w:val="20"/>
          <w:color w:val="auto"/>
        </w:rPr>
      </w:pPr>
      <w:r>
        <w:rPr>
          <w:rFonts w:ascii="Times New Roman" w:cs="Times New Roman" w:eastAsia="Times New Roman" w:hAnsi="Times New Roman"/>
          <w:sz w:val="13"/>
          <w:szCs w:val="13"/>
          <w:color w:val="auto"/>
        </w:rPr>
        <w:t>We may issue debt securities which may or may not be converted into our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spacing w:after="0" w:line="81" w:lineRule="exact"/>
        <w:rPr>
          <w:sz w:val="20"/>
          <w:szCs w:val="20"/>
          <w:color w:val="auto"/>
        </w:rPr>
      </w:pPr>
    </w:p>
    <w:p>
      <w:pPr>
        <w:jc w:val="both"/>
        <w:ind w:left="1440" w:right="1459" w:firstLine="269"/>
        <w:spacing w:after="0" w:line="255" w:lineRule="auto"/>
        <w:rPr>
          <w:sz w:val="20"/>
          <w:szCs w:val="20"/>
          <w:color w:val="auto"/>
        </w:rPr>
      </w:pPr>
      <w:r>
        <w:rPr>
          <w:rFonts w:ascii="Times New Roman" w:cs="Times New Roman" w:eastAsia="Times New Roman" w:hAnsi="Times New Roman"/>
          <w:sz w:val="13"/>
          <w:szCs w:val="13"/>
          <w:color w:val="auto"/>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spacing w:after="0" w:line="238" w:lineRule="exact"/>
        <w:rPr>
          <w:sz w:val="20"/>
          <w:szCs w:val="20"/>
          <w:color w:val="auto"/>
        </w:rPr>
      </w:pPr>
    </w:p>
    <w:p>
      <w:pPr>
        <w:jc w:val="both"/>
        <w:ind w:left="1440" w:right="1459" w:firstLine="269"/>
        <w:spacing w:after="0" w:line="265" w:lineRule="auto"/>
        <w:rPr>
          <w:sz w:val="20"/>
          <w:szCs w:val="20"/>
          <w:color w:val="auto"/>
        </w:rPr>
      </w:pPr>
      <w:r>
        <w:rPr>
          <w:rFonts w:ascii="Times New Roman" w:cs="Times New Roman" w:eastAsia="Times New Roman" w:hAnsi="Times New Roman"/>
          <w:sz w:val="13"/>
          <w:szCs w:val="13"/>
          <w:color w:val="auto"/>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More Information About Us” and “Incorporation of Documents by Reference” below for information on how to obtain a copy of a debt securities document when it is filed.</w:t>
      </w:r>
    </w:p>
    <w:p>
      <w:pPr>
        <w:spacing w:after="0" w:line="86"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When we refer to a series of debt securities, we mean all debt securities issued as part of the same series under the applicable indenture.</w:t>
      </w:r>
    </w:p>
    <w:p>
      <w:pPr>
        <w:spacing w:after="0" w:line="10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Terms</w:t>
      </w:r>
    </w:p>
    <w:p>
      <w:pPr>
        <w:spacing w:after="0" w:line="127" w:lineRule="exact"/>
        <w:rPr>
          <w:sz w:val="20"/>
          <w:szCs w:val="20"/>
          <w:color w:val="auto"/>
        </w:rPr>
      </w:pPr>
    </w:p>
    <w:p>
      <w:pPr>
        <w:jc w:val="both"/>
        <w:ind w:left="1440" w:right="1459" w:firstLine="269"/>
        <w:spacing w:after="0" w:line="291" w:lineRule="auto"/>
        <w:rPr>
          <w:sz w:val="20"/>
          <w:szCs w:val="20"/>
          <w:color w:val="auto"/>
        </w:rPr>
      </w:pPr>
      <w:r>
        <w:rPr>
          <w:rFonts w:ascii="Times New Roman" w:cs="Times New Roman" w:eastAsia="Times New Roman" w:hAnsi="Times New Roman"/>
          <w:sz w:val="13"/>
          <w:szCs w:val="13"/>
          <w:color w:val="auto"/>
        </w:rPr>
        <w:t>The applicable prospectus supplement, information incorporated by reference, or free writing prospectus, may describe the terms of any debt securities that we may offer, including, but not limited to, the following:</w:t>
      </w:r>
    </w:p>
    <w:p>
      <w:pPr>
        <w:spacing w:after="0" w:line="203" w:lineRule="exact"/>
        <w:rPr>
          <w:sz w:val="20"/>
          <w:szCs w:val="20"/>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debt securities;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amount of the debt securities;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or amounts of the debt securities will be issued and interest rate;</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conversion price at which the debt securities may be converted;</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convert the debt securities will commence and the date on which the right will expire;</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69" w:lineRule="auto"/>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minimum or maximum amount of debt securities that may be converted at any one time;</w:t>
      </w:r>
    </w:p>
    <w:p>
      <w:pPr>
        <w:spacing w:after="0" w:line="236"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a discussion of material federal income tax consideration;</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terms of the payoff of the debt securities;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identity of the indenture agent, if any;</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procedures and conditions relating to the conversion of the debt securities; and</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 including terms, procedure and limitation relating to the exchange or conversion of the debt securities.</w:t>
      </w:r>
    </w:p>
    <w:p>
      <w:pPr>
        <w:spacing w:after="0" w:line="10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Form, Exchange, and Transfer</w:t>
      </w:r>
    </w:p>
    <w:p>
      <w:pPr>
        <w:spacing w:after="0" w:line="117" w:lineRule="exact"/>
        <w:rPr>
          <w:sz w:val="20"/>
          <w:szCs w:val="20"/>
          <w:color w:val="auto"/>
        </w:rPr>
      </w:pPr>
    </w:p>
    <w:p>
      <w:pPr>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We may issue the debt securities in registered form or bearer form. Debt securities issued in registered form, i.e., book-entry form, will be represented by a global security registered in the name of a depository,</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4" w:name="page35"/>
    <w:bookmarkEnd w:id="34"/>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39"/>
        <w:spacing w:after="0" w:line="264" w:lineRule="auto"/>
        <w:rPr>
          <w:sz w:val="20"/>
          <w:szCs w:val="20"/>
          <w:color w:val="auto"/>
        </w:rPr>
      </w:pPr>
      <w:r>
        <w:rPr>
          <w:rFonts w:ascii="Times New Roman" w:cs="Times New Roman" w:eastAsia="Times New Roman" w:hAnsi="Times New Roman"/>
          <w:sz w:val="13"/>
          <w:szCs w:val="13"/>
          <w:color w:val="auto"/>
        </w:rPr>
        <w:t>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spacing w:after="0" w:line="88"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Conversion of Debt Securities</w:t>
      </w:r>
    </w:p>
    <w:p>
      <w:pPr>
        <w:spacing w:after="0" w:line="127" w:lineRule="exact"/>
        <w:rPr>
          <w:sz w:val="20"/>
          <w:szCs w:val="20"/>
          <w:color w:val="auto"/>
        </w:rPr>
      </w:pPr>
    </w:p>
    <w:p>
      <w:pPr>
        <w:jc w:val="both"/>
        <w:ind w:left="1440" w:right="1439" w:firstLine="269"/>
        <w:spacing w:after="0" w:line="271" w:lineRule="auto"/>
        <w:rPr>
          <w:sz w:val="20"/>
          <w:szCs w:val="20"/>
          <w:color w:val="auto"/>
        </w:rPr>
      </w:pPr>
      <w:r>
        <w:rPr>
          <w:rFonts w:ascii="Times New Roman" w:cs="Times New Roman" w:eastAsia="Times New Roman" w:hAnsi="Times New Roman"/>
          <w:sz w:val="13"/>
          <w:szCs w:val="13"/>
          <w:color w:val="auto"/>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spacing w:after="0" w:line="233" w:lineRule="exact"/>
        <w:rPr>
          <w:sz w:val="20"/>
          <w:szCs w:val="20"/>
          <w:color w:val="auto"/>
        </w:rPr>
      </w:pPr>
    </w:p>
    <w:p>
      <w:pPr>
        <w:jc w:val="both"/>
        <w:ind w:left="1440" w:right="1459" w:firstLine="269"/>
        <w:spacing w:after="0" w:line="271" w:lineRule="auto"/>
        <w:rPr>
          <w:sz w:val="20"/>
          <w:szCs w:val="20"/>
          <w:color w:val="auto"/>
        </w:rPr>
      </w:pPr>
      <w:r>
        <w:rPr>
          <w:rFonts w:ascii="Times New Roman" w:cs="Times New Roman" w:eastAsia="Times New Roman" w:hAnsi="Times New Roman"/>
          <w:sz w:val="13"/>
          <w:szCs w:val="13"/>
          <w:color w:val="auto"/>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5" w:name="page36"/>
    <w:bookmarkEnd w:id="35"/>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SUBSCRIPTION RIGHTS</w:t>
      </w:r>
    </w:p>
    <w:p>
      <w:pPr>
        <w:spacing w:after="0" w:line="127"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2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27" w:lineRule="exact"/>
        <w:rPr>
          <w:sz w:val="20"/>
          <w:szCs w:val="20"/>
          <w:color w:val="auto"/>
        </w:rPr>
      </w:pPr>
    </w:p>
    <w:p>
      <w:pPr>
        <w:jc w:val="both"/>
        <w:ind w:left="1440" w:right="1439" w:firstLine="269"/>
        <w:spacing w:after="0" w:line="254" w:lineRule="auto"/>
        <w:rPr>
          <w:sz w:val="20"/>
          <w:szCs w:val="20"/>
          <w:color w:val="auto"/>
        </w:rPr>
      </w:pPr>
      <w:r>
        <w:rPr>
          <w:rFonts w:ascii="Times New Roman" w:cs="Times New Roman" w:eastAsia="Times New Roman" w:hAnsi="Times New Roman"/>
          <w:sz w:val="13"/>
          <w:szCs w:val="13"/>
          <w:color w:val="auto"/>
        </w:rPr>
        <w:t>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spacing w:after="0" w:line="239" w:lineRule="exact"/>
        <w:rPr>
          <w:sz w:val="20"/>
          <w:szCs w:val="20"/>
          <w:color w:val="auto"/>
        </w:rPr>
      </w:pPr>
    </w:p>
    <w:p>
      <w:pPr>
        <w:jc w:val="both"/>
        <w:ind w:left="1440" w:right="1459" w:firstLine="269"/>
        <w:spacing w:after="0" w:line="282" w:lineRule="auto"/>
        <w:rPr>
          <w:sz w:val="20"/>
          <w:szCs w:val="20"/>
          <w:color w:val="auto"/>
        </w:rPr>
      </w:pPr>
      <w:r>
        <w:rPr>
          <w:rFonts w:ascii="Times New Roman" w:cs="Times New Roman" w:eastAsia="Times New Roman" w:hAnsi="Times New Roman"/>
          <w:sz w:val="13"/>
          <w:szCs w:val="13"/>
          <w:color w:val="auto"/>
        </w:rPr>
        <w:t>The applicable prospectus supplement will describe the following terms of subscription rights in respect of which this prospectus is being delivered:</w:t>
      </w:r>
    </w:p>
    <w:p>
      <w:pPr>
        <w:spacing w:after="0" w:line="32" w:lineRule="exact"/>
        <w:rPr>
          <w:sz w:val="20"/>
          <w:szCs w:val="20"/>
          <w:color w:val="auto"/>
        </w:rPr>
      </w:pPr>
    </w:p>
    <w:p>
      <w:pPr>
        <w:ind w:left="1840" w:hanging="136"/>
        <w:spacing w:after="0"/>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such subscription rights;</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for which such subscription rights are exercisable;</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for such subscription rights;</w:t>
      </w:r>
    </w:p>
    <w:p>
      <w:pPr>
        <w:spacing w:after="0" w:line="9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such subscription rights issued to each shareholder;</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such subscription rights are transferable;</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a discussion of the material Cayman Islands or United States federal income tax considerations applicable to the issuance or exercise of such subscription rights;</w:t>
      </w:r>
    </w:p>
    <w:p>
      <w:pPr>
        <w:spacing w:after="0" w:line="22" w:lineRule="exact"/>
        <w:rPr>
          <w:rFonts w:ascii="Times New Roman" w:cs="Times New Roman" w:eastAsia="Times New Roman" w:hAnsi="Times New Roman"/>
          <w:sz w:val="13"/>
          <w:szCs w:val="13"/>
          <w:color w:val="auto"/>
        </w:rPr>
      </w:pPr>
    </w:p>
    <w:p>
      <w:pPr>
        <w:ind w:left="1840" w:right="1439" w:hanging="136"/>
        <w:spacing w:after="0" w:line="298" w:lineRule="auto"/>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such subscription rights shall commence, and the date on which such rights shall expire (subject to any extension);</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such subscription rights include an over-subscription privilege with respect to unsubscribed securities;</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material terms of any standby underwriting or other purchase arrangement that we may enter into in connection with the subscription rights offering; and</w:t>
      </w:r>
    </w:p>
    <w:p>
      <w:pPr>
        <w:spacing w:after="0" w:line="2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such subscription rights, including terms, procedures and limitations relating to the exchange and exercise of such subscription rights.</w:t>
      </w:r>
    </w:p>
    <w:p>
      <w:pPr>
        <w:spacing w:after="0" w:line="10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Exercise of Subscription Rights</w:t>
      </w:r>
    </w:p>
    <w:p>
      <w:pPr>
        <w:spacing w:after="0" w:line="127" w:lineRule="exact"/>
        <w:rPr>
          <w:sz w:val="20"/>
          <w:szCs w:val="20"/>
          <w:color w:val="auto"/>
        </w:rPr>
      </w:pPr>
    </w:p>
    <w:p>
      <w:pPr>
        <w:jc w:val="both"/>
        <w:ind w:left="1440" w:right="1459" w:firstLine="269"/>
        <w:spacing w:after="0" w:line="258" w:lineRule="auto"/>
        <w:rPr>
          <w:sz w:val="20"/>
          <w:szCs w:val="20"/>
          <w:color w:val="auto"/>
        </w:rPr>
      </w:pPr>
      <w:r>
        <w:rPr>
          <w:rFonts w:ascii="Times New Roman" w:cs="Times New Roman" w:eastAsia="Times New Roman" w:hAnsi="Times New Roman"/>
          <w:sz w:val="13"/>
          <w:szCs w:val="13"/>
          <w:color w:val="auto"/>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236" w:lineRule="exact"/>
        <w:rPr>
          <w:sz w:val="20"/>
          <w:szCs w:val="20"/>
          <w:color w:val="auto"/>
        </w:rPr>
      </w:pPr>
    </w:p>
    <w:p>
      <w:pPr>
        <w:jc w:val="both"/>
        <w:ind w:left="1440" w:right="1459" w:firstLine="269"/>
        <w:spacing w:after="0" w:line="253" w:lineRule="auto"/>
        <w:rPr>
          <w:sz w:val="20"/>
          <w:szCs w:val="20"/>
          <w:color w:val="auto"/>
        </w:rPr>
      </w:pPr>
      <w:r>
        <w:rPr>
          <w:rFonts w:ascii="Times New Roman" w:cs="Times New Roman" w:eastAsia="Times New Roman" w:hAnsi="Times New Roman"/>
          <w:sz w:val="13"/>
          <w:szCs w:val="13"/>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6" w:name="page37"/>
    <w:bookmarkEnd w:id="36"/>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76" w:lineRule="exact"/>
        <w:rPr>
          <w:sz w:val="20"/>
          <w:szCs w:val="20"/>
          <w:color w:val="auto"/>
        </w:rPr>
      </w:pPr>
    </w:p>
    <w:p>
      <w:pPr>
        <w:jc w:val="both"/>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applicable prospectus supplement will describe:</w:t>
      </w:r>
    </w:p>
    <w:p>
      <w:pPr>
        <w:spacing w:after="0" w:line="93" w:lineRule="exact"/>
        <w:rPr>
          <w:sz w:val="20"/>
          <w:szCs w:val="20"/>
          <w:color w:val="auto"/>
        </w:rPr>
      </w:pPr>
    </w:p>
    <w:p>
      <w:pPr>
        <w:ind w:left="1840" w:right="1459" w:hanging="136"/>
        <w:spacing w:after="0" w:line="298" w:lineRule="auto"/>
        <w:tabs>
          <w:tab w:leader="none" w:pos="18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the units and of the securities comprising the units, including whether and under what circumstances those securities may be held or transferred separately;</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unit agreement under which the units will be issued;</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for the issuance, payment, settlement, transfer or exchange of the units or of the securities comprising the units; and</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7" w:name="page38"/>
    <w:bookmarkEnd w:id="37"/>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UNITS</w:t>
      </w:r>
    </w:p>
    <w:p>
      <w:pPr>
        <w:spacing w:after="0" w:line="127"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76" w:lineRule="exact"/>
        <w:rPr>
          <w:sz w:val="20"/>
          <w:szCs w:val="20"/>
          <w:color w:val="auto"/>
        </w:rPr>
      </w:pPr>
    </w:p>
    <w:p>
      <w:pPr>
        <w:jc w:val="both"/>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applicable prospectus supplement will describe:</w:t>
      </w:r>
    </w:p>
    <w:p>
      <w:pPr>
        <w:spacing w:after="0" w:line="93" w:lineRule="exact"/>
        <w:rPr>
          <w:sz w:val="20"/>
          <w:szCs w:val="20"/>
          <w:color w:val="auto"/>
        </w:rPr>
      </w:pPr>
    </w:p>
    <w:p>
      <w:pPr>
        <w:ind w:left="1840" w:right="1459" w:hanging="136"/>
        <w:spacing w:after="0" w:line="298" w:lineRule="auto"/>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the units and of the securities comprising the units, including whether and under what circumstances those securities may be held or transferred separately;</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unit agreement under which the units will be issued;</w:t>
      </w:r>
    </w:p>
    <w:p>
      <w:pPr>
        <w:spacing w:after="0" w:line="9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for the issuance, payment, settlement, transfer or exchange of the units or of the securities comprising the units; and</w:t>
      </w:r>
    </w:p>
    <w:p>
      <w:pPr>
        <w:spacing w:after="0" w:line="3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8" w:name="page39"/>
    <w:bookmarkEnd w:id="38"/>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ENFORCEABILITY OF CIVIL LIABILITIES</w:t>
      </w:r>
    </w:p>
    <w:p>
      <w:pPr>
        <w:spacing w:after="0" w:line="87" w:lineRule="exact"/>
        <w:rPr>
          <w:sz w:val="20"/>
          <w:szCs w:val="20"/>
          <w:color w:val="auto"/>
        </w:rPr>
      </w:pPr>
    </w:p>
    <w:p>
      <w:pPr>
        <w:jc w:val="both"/>
        <w:ind w:left="1440" w:right="1459" w:firstLine="269"/>
        <w:spacing w:after="0" w:line="244" w:lineRule="auto"/>
        <w:rPr>
          <w:sz w:val="20"/>
          <w:szCs w:val="20"/>
          <w:color w:val="auto"/>
        </w:rPr>
      </w:pPr>
      <w:r>
        <w:rPr>
          <w:rFonts w:ascii="Times New Roman" w:cs="Times New Roman" w:eastAsia="Times New Roman" w:hAnsi="Times New Roman"/>
          <w:sz w:val="13"/>
          <w:szCs w:val="13"/>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57" w:lineRule="exact"/>
        <w:rPr>
          <w:sz w:val="20"/>
          <w:szCs w:val="20"/>
          <w:color w:val="auto"/>
        </w:rPr>
      </w:pPr>
    </w:p>
    <w:p>
      <w:pPr>
        <w:jc w:val="both"/>
        <w:ind w:left="1440" w:right="1439" w:firstLine="269"/>
        <w:spacing w:after="0" w:line="241" w:lineRule="auto"/>
        <w:rPr>
          <w:sz w:val="20"/>
          <w:szCs w:val="20"/>
          <w:color w:val="auto"/>
        </w:rPr>
      </w:pPr>
      <w:r>
        <w:rPr>
          <w:rFonts w:ascii="Times New Roman" w:cs="Times New Roman" w:eastAsia="Times New Roman" w:hAnsi="Times New Roman"/>
          <w:sz w:val="13"/>
          <w:szCs w:val="13"/>
          <w:color w:val="auto"/>
        </w:rPr>
        <w:t>Most of our operations are conducted in China, and most of our assets are located in China.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w:t>
      </w:r>
    </w:p>
    <w:p>
      <w:pPr>
        <w:spacing w:after="0" w:line="212" w:lineRule="exact"/>
        <w:rPr>
          <w:sz w:val="20"/>
          <w:szCs w:val="20"/>
          <w:color w:val="auto"/>
        </w:rPr>
      </w:pPr>
    </w:p>
    <w:p>
      <w:pPr>
        <w:jc w:val="both"/>
        <w:ind w:left="1440" w:right="1439" w:firstLine="269"/>
        <w:spacing w:after="0" w:line="250" w:lineRule="auto"/>
        <w:rPr>
          <w:sz w:val="20"/>
          <w:szCs w:val="20"/>
          <w:color w:val="auto"/>
        </w:rPr>
      </w:pPr>
      <w:r>
        <w:rPr>
          <w:rFonts w:ascii="Times New Roman" w:cs="Times New Roman" w:eastAsia="Times New Roman" w:hAnsi="Times New Roman"/>
          <w:sz w:val="13"/>
          <w:szCs w:val="13"/>
          <w:color w:val="auto"/>
        </w:rPr>
        <w:t>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w:t>
      </w:r>
    </w:p>
    <w:p>
      <w:pPr>
        <w:spacing w:after="0" w:line="43" w:lineRule="exact"/>
        <w:rPr>
          <w:sz w:val="20"/>
          <w:szCs w:val="20"/>
          <w:color w:val="auto"/>
        </w:rPr>
      </w:pPr>
    </w:p>
    <w:p>
      <w:pPr>
        <w:jc w:val="both"/>
        <w:ind w:left="1440" w:right="1439" w:firstLine="269"/>
        <w:spacing w:after="0" w:line="244" w:lineRule="auto"/>
        <w:rPr>
          <w:sz w:val="20"/>
          <w:szCs w:val="20"/>
          <w:color w:val="auto"/>
        </w:rPr>
      </w:pPr>
      <w:r>
        <w:rPr>
          <w:rFonts w:ascii="Times New Roman" w:cs="Times New Roman" w:eastAsia="Times New Roman" w:hAnsi="Times New Roman"/>
          <w:sz w:val="13"/>
          <w:szCs w:val="13"/>
          <w:color w:val="auto"/>
        </w:rPr>
        <w:t>Maples and Calder (Hong Kong) LLP, our counsel as to Cayman Islands law, has advised us that the courts of the Cayman Islands are unlikely (1) to recognize or enforce judgments of U.S. courts obtained against us or our directors or officers that are predicated upon the civil liability provisions of the federal securities laws of the United States or the securities laws of any state in the United States, or (2)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w:t>
      </w:r>
    </w:p>
    <w:p>
      <w:pPr>
        <w:spacing w:after="0" w:line="57" w:lineRule="exact"/>
        <w:rPr>
          <w:sz w:val="20"/>
          <w:szCs w:val="20"/>
          <w:color w:val="auto"/>
        </w:rPr>
      </w:pPr>
    </w:p>
    <w:p>
      <w:pPr>
        <w:jc w:val="both"/>
        <w:ind w:left="1440" w:right="1459" w:firstLine="269"/>
        <w:spacing w:after="0"/>
        <w:rPr>
          <w:sz w:val="20"/>
          <w:szCs w:val="20"/>
          <w:color w:val="auto"/>
        </w:rPr>
      </w:pPr>
      <w:r>
        <w:rPr>
          <w:rFonts w:ascii="Times New Roman" w:cs="Times New Roman" w:eastAsia="Times New Roman" w:hAnsi="Times New Roman"/>
          <w:sz w:val="13"/>
          <w:szCs w:val="13"/>
          <w:color w:val="auto"/>
        </w:rPr>
        <w:t>In addition, Maples and Calder (Hong Kong) LLP has advised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 A Cayman Islands court may stay enforcement proceedings if concurrent proceedings are being brought elsewhere.</w:t>
      </w:r>
    </w:p>
    <w:p>
      <w:pPr>
        <w:spacing w:after="0" w:line="225" w:lineRule="exact"/>
        <w:rPr>
          <w:sz w:val="20"/>
          <w:szCs w:val="20"/>
          <w:color w:val="auto"/>
        </w:rPr>
      </w:pPr>
    </w:p>
    <w:p>
      <w:pPr>
        <w:jc w:val="both"/>
        <w:ind w:left="1440" w:right="1439" w:firstLine="269"/>
        <w:spacing w:after="0" w:line="250" w:lineRule="auto"/>
        <w:rPr>
          <w:sz w:val="20"/>
          <w:szCs w:val="20"/>
          <w:color w:val="auto"/>
        </w:rPr>
      </w:pPr>
      <w:r>
        <w:rPr>
          <w:rFonts w:ascii="Times New Roman" w:cs="Times New Roman" w:eastAsia="Times New Roman" w:hAnsi="Times New Roman"/>
          <w:sz w:val="13"/>
          <w:szCs w:val="13"/>
          <w:color w:val="auto"/>
        </w:rPr>
        <w:t>Commerce &amp; Finance Law Offices, our PRC legal adviser,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Commerce &amp; Finance Law Offices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existed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9" w:name="page40"/>
    <w:bookmarkEnd w:id="39"/>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27"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0" w:name="page41"/>
    <w:bookmarkEnd w:id="40"/>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We may sell the securities offered through this prospectus (1) to or through underwriters or dealers,</w:t>
      </w:r>
    </w:p>
    <w:p>
      <w:pPr>
        <w:spacing w:after="0" w:line="16" w:lineRule="exact"/>
        <w:rPr>
          <w:sz w:val="20"/>
          <w:szCs w:val="20"/>
          <w:color w:val="auto"/>
        </w:rPr>
      </w:pPr>
    </w:p>
    <w:p>
      <w:pPr>
        <w:jc w:val="both"/>
        <w:ind w:left="1440" w:right="1459" w:hanging="5"/>
        <w:spacing w:after="0" w:line="256" w:lineRule="auto"/>
        <w:tabs>
          <w:tab w:leader="none" w:pos="165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describe the terms of the offering, including the following information, if applicable:</w:t>
      </w:r>
    </w:p>
    <w:p>
      <w:pPr>
        <w:spacing w:after="0" w:line="196"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or names of any dealers or agents;</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or names of any managing underwriter or underwriters;</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price of the securities;</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proceeds from the sale of the securities;</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delayed delivery arrangements;</w:t>
      </w:r>
    </w:p>
    <w:p>
      <w:pPr>
        <w:spacing w:after="0" w:line="7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underwriting discounts, commissions and other items constituting underwriters’ compensation;</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offering price to the public;</w:t>
      </w:r>
    </w:p>
    <w:p>
      <w:pPr>
        <w:spacing w:after="0" w:line="7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discounts or concessions allowed or reallowed or paid to dealers; and</w:t>
      </w:r>
    </w:p>
    <w:p>
      <w:pPr>
        <w:spacing w:after="0" w:line="82" w:lineRule="exact"/>
        <w:rPr>
          <w:rFonts w:ascii="Times New Roman" w:cs="Times New Roman" w:eastAsia="Times New Roman" w:hAnsi="Times New Roman"/>
          <w:sz w:val="13"/>
          <w:szCs w:val="13"/>
          <w:color w:val="auto"/>
        </w:rPr>
      </w:pPr>
    </w:p>
    <w:p>
      <w:pPr>
        <w:ind w:left="1840" w:hanging="136"/>
        <w:spacing w:after="0"/>
        <w:tabs>
          <w:tab w:leader="none" w:pos="184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commissions paid to agents.</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Sale through underwriters or dealers</w:t>
      </w:r>
    </w:p>
    <w:p>
      <w:pPr>
        <w:spacing w:after="0" w:line="127" w:lineRule="exact"/>
        <w:rPr>
          <w:sz w:val="20"/>
          <w:szCs w:val="20"/>
          <w:color w:val="auto"/>
        </w:rPr>
      </w:pPr>
    </w:p>
    <w:p>
      <w:pPr>
        <w:jc w:val="both"/>
        <w:ind w:left="1440" w:right="1439" w:firstLine="269"/>
        <w:spacing w:after="0" w:line="251" w:lineRule="auto"/>
        <w:rPr>
          <w:sz w:val="20"/>
          <w:szCs w:val="20"/>
          <w:color w:val="auto"/>
        </w:rPr>
      </w:pPr>
      <w:r>
        <w:rPr>
          <w:rFonts w:ascii="Times New Roman" w:cs="Times New Roman" w:eastAsia="Times New Roman" w:hAnsi="Times New Roman"/>
          <w:sz w:val="13"/>
          <w:szCs w:val="13"/>
          <w:color w:val="auto"/>
        </w:rPr>
        <w:t>If underwriters are used in the sale, the underwriters will acquire the securities for their own account, including through underwriting, purchase, security lending or repurchase agreements.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239"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Direct sales and sales through agents</w:t>
      </w:r>
    </w:p>
    <w:p>
      <w:pPr>
        <w:spacing w:after="0" w:line="127" w:lineRule="exact"/>
        <w:rPr>
          <w:sz w:val="20"/>
          <w:szCs w:val="20"/>
          <w:color w:val="auto"/>
        </w:rPr>
      </w:pPr>
    </w:p>
    <w:p>
      <w:pPr>
        <w:jc w:val="both"/>
        <w:ind w:left="1440" w:right="1459" w:firstLine="269"/>
        <w:spacing w:after="0" w:line="258" w:lineRule="auto"/>
        <w:rPr>
          <w:sz w:val="20"/>
          <w:szCs w:val="20"/>
          <w:color w:val="auto"/>
        </w:rPr>
      </w:pPr>
      <w:r>
        <w:rPr>
          <w:rFonts w:ascii="Times New Roman" w:cs="Times New Roman" w:eastAsia="Times New Roman" w:hAnsi="Times New Roman"/>
          <w:sz w:val="13"/>
          <w:szCs w:val="13"/>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236" w:lineRule="exact"/>
        <w:rPr>
          <w:sz w:val="20"/>
          <w:szCs w:val="20"/>
          <w:color w:val="auto"/>
        </w:rPr>
      </w:pPr>
    </w:p>
    <w:p>
      <w:pPr>
        <w:jc w:val="both"/>
        <w:ind w:left="1440" w:right="1459" w:firstLine="269"/>
        <w:spacing w:after="0" w:line="262" w:lineRule="auto"/>
        <w:rPr>
          <w:sz w:val="20"/>
          <w:szCs w:val="20"/>
          <w:color w:val="auto"/>
        </w:rPr>
      </w:pPr>
      <w:r>
        <w:rPr>
          <w:rFonts w:ascii="Times New Roman" w:cs="Times New Roman" w:eastAsia="Times New Roman" w:hAnsi="Times New Roman"/>
          <w:sz w:val="13"/>
          <w:szCs w:val="13"/>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Delayed delivery contracts</w:t>
      </w:r>
    </w:p>
    <w:p>
      <w:pPr>
        <w:spacing w:after="0" w:line="117" w:lineRule="exact"/>
        <w:rPr>
          <w:sz w:val="20"/>
          <w:szCs w:val="20"/>
          <w:color w:val="auto"/>
        </w:rPr>
      </w:pPr>
    </w:p>
    <w:p>
      <w:pPr>
        <w:jc w:val="both"/>
        <w:ind w:left="1440" w:right="1459" w:firstLine="269"/>
        <w:spacing w:after="0" w:line="281" w:lineRule="auto"/>
        <w:rPr>
          <w:sz w:val="20"/>
          <w:szCs w:val="20"/>
          <w:color w:val="auto"/>
        </w:rPr>
      </w:pPr>
      <w:r>
        <w:rPr>
          <w:rFonts w:ascii="Times New Roman" w:cs="Times New Roman" w:eastAsia="Times New Roman" w:hAnsi="Times New Roman"/>
          <w:sz w:val="13"/>
          <w:szCs w:val="13"/>
          <w:color w:val="auto"/>
        </w:rPr>
        <w:t>If the prospectus supplement indicates, we may authorize agents, underwriters or dealers to solicit offers from certain types of institutions to purchase securities at the public offering price under delayed delivery</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1" w:name="page42"/>
    <w:bookmarkEnd w:id="41"/>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440" w:right="1459"/>
        <w:spacing w:after="0" w:line="270" w:lineRule="auto"/>
        <w:rPr>
          <w:sz w:val="20"/>
          <w:szCs w:val="20"/>
          <w:color w:val="auto"/>
        </w:rPr>
      </w:pPr>
      <w:r>
        <w:rPr>
          <w:rFonts w:ascii="Times New Roman" w:cs="Times New Roman" w:eastAsia="Times New Roman" w:hAnsi="Times New Roman"/>
          <w:sz w:val="13"/>
          <w:szCs w:val="13"/>
          <w:color w:val="auto"/>
        </w:rPr>
        <w:t>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Market making, stabilization and other transactions</w:t>
      </w:r>
    </w:p>
    <w:p>
      <w:pPr>
        <w:spacing w:after="0" w:line="127" w:lineRule="exact"/>
        <w:rPr>
          <w:sz w:val="20"/>
          <w:szCs w:val="20"/>
          <w:color w:val="auto"/>
        </w:rPr>
      </w:pPr>
    </w:p>
    <w:p>
      <w:pPr>
        <w:jc w:val="both"/>
        <w:ind w:left="1440" w:right="1459" w:firstLine="269"/>
        <w:spacing w:after="0" w:line="256" w:lineRule="auto"/>
        <w:rPr>
          <w:sz w:val="20"/>
          <w:szCs w:val="20"/>
          <w:color w:val="auto"/>
        </w:rPr>
      </w:pPr>
      <w:r>
        <w:rPr>
          <w:rFonts w:ascii="Times New Roman" w:cs="Times New Roman" w:eastAsia="Times New Roman" w:hAnsi="Times New Roman"/>
          <w:sz w:val="13"/>
          <w:szCs w:val="13"/>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81" w:lineRule="exact"/>
        <w:rPr>
          <w:sz w:val="20"/>
          <w:szCs w:val="20"/>
          <w:color w:val="auto"/>
        </w:rPr>
      </w:pPr>
    </w:p>
    <w:p>
      <w:pPr>
        <w:jc w:val="both"/>
        <w:ind w:left="1440" w:right="1459" w:firstLine="269"/>
        <w:spacing w:after="0" w:line="261" w:lineRule="auto"/>
        <w:rPr>
          <w:sz w:val="20"/>
          <w:szCs w:val="20"/>
          <w:color w:val="auto"/>
        </w:rPr>
      </w:pPr>
      <w:r>
        <w:rPr>
          <w:rFonts w:ascii="Times New Roman" w:cs="Times New Roman" w:eastAsia="Times New Roman" w:hAnsi="Times New Roman"/>
          <w:sz w:val="13"/>
          <w:szCs w:val="13"/>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76" w:lineRule="exact"/>
        <w:rPr>
          <w:sz w:val="20"/>
          <w:szCs w:val="20"/>
          <w:color w:val="auto"/>
        </w:rPr>
      </w:pPr>
    </w:p>
    <w:p>
      <w:pPr>
        <w:jc w:val="both"/>
        <w:ind w:left="1440" w:right="1459" w:firstLine="269"/>
        <w:spacing w:after="0" w:line="256" w:lineRule="auto"/>
        <w:rPr>
          <w:sz w:val="20"/>
          <w:szCs w:val="20"/>
          <w:color w:val="auto"/>
        </w:rPr>
      </w:pPr>
      <w:r>
        <w:rPr>
          <w:rFonts w:ascii="Times New Roman" w:cs="Times New Roman" w:eastAsia="Times New Roman" w:hAnsi="Times New Roman"/>
          <w:sz w:val="13"/>
          <w:szCs w:val="13"/>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Derivative transactions and hedging</w:t>
      </w:r>
    </w:p>
    <w:p>
      <w:pPr>
        <w:spacing w:after="0" w:line="127" w:lineRule="exact"/>
        <w:rPr>
          <w:sz w:val="20"/>
          <w:szCs w:val="20"/>
          <w:color w:val="auto"/>
        </w:rPr>
      </w:pPr>
    </w:p>
    <w:p>
      <w:pPr>
        <w:jc w:val="both"/>
        <w:ind w:left="1440" w:right="1439" w:firstLine="269"/>
        <w:spacing w:after="0" w:line="252" w:lineRule="auto"/>
        <w:rPr>
          <w:sz w:val="20"/>
          <w:szCs w:val="20"/>
          <w:color w:val="auto"/>
        </w:rPr>
      </w:pPr>
      <w:r>
        <w:rPr>
          <w:rFonts w:ascii="Times New Roman" w:cs="Times New Roman" w:eastAsia="Times New Roman" w:hAnsi="Times New Roman"/>
          <w:sz w:val="13"/>
          <w:szCs w:val="13"/>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Electronic auctions</w:t>
      </w:r>
    </w:p>
    <w:p>
      <w:pPr>
        <w:spacing w:after="0" w:line="127" w:lineRule="exact"/>
        <w:rPr>
          <w:sz w:val="20"/>
          <w:szCs w:val="20"/>
          <w:color w:val="auto"/>
        </w:rPr>
      </w:pPr>
    </w:p>
    <w:p>
      <w:pPr>
        <w:jc w:val="both"/>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81" w:lineRule="exact"/>
        <w:rPr>
          <w:sz w:val="20"/>
          <w:szCs w:val="20"/>
          <w:color w:val="auto"/>
        </w:rPr>
      </w:pPr>
    </w:p>
    <w:p>
      <w:pPr>
        <w:jc w:val="both"/>
        <w:ind w:left="1440" w:right="1459" w:firstLine="269"/>
        <w:spacing w:after="0" w:line="266" w:lineRule="auto"/>
        <w:rPr>
          <w:sz w:val="20"/>
          <w:szCs w:val="20"/>
          <w:color w:val="auto"/>
        </w:rPr>
      </w:pPr>
      <w:r>
        <w:rPr>
          <w:rFonts w:ascii="Times New Roman" w:cs="Times New Roman" w:eastAsia="Times New Roman" w:hAnsi="Times New Roman"/>
          <w:sz w:val="13"/>
          <w:szCs w:val="13"/>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w:t>
      </w:r>
    </w:p>
    <w:p>
      <w:pPr>
        <w:spacing w:after="0" w:line="238" w:lineRule="exact"/>
        <w:rPr>
          <w:sz w:val="20"/>
          <w:szCs w:val="20"/>
          <w:color w:val="auto"/>
        </w:rPr>
      </w:pPr>
    </w:p>
    <w:p>
      <w:pPr>
        <w:jc w:val="both"/>
        <w:ind w:left="1440" w:right="1459" w:firstLine="269"/>
        <w:spacing w:after="0" w:line="272" w:lineRule="auto"/>
        <w:rPr>
          <w:sz w:val="20"/>
          <w:szCs w:val="20"/>
          <w:color w:val="auto"/>
        </w:rPr>
      </w:pPr>
      <w:r>
        <w:rPr>
          <w:rFonts w:ascii="Times New Roman" w:cs="Times New Roman" w:eastAsia="Times New Roman" w:hAnsi="Times New Roman"/>
          <w:sz w:val="13"/>
          <w:szCs w:val="13"/>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2" w:name="page43"/>
    <w:bookmarkEnd w:id="42"/>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127" w:lineRule="exact"/>
        <w:rPr>
          <w:sz w:val="20"/>
          <w:szCs w:val="20"/>
          <w:color w:val="auto"/>
        </w:rPr>
      </w:pPr>
    </w:p>
    <w:p>
      <w:pPr>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Agents, underwriters, and dealers may be entitled, under agreements entered into with us, to indemnification by us against certain liabilities,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3" w:name="page44"/>
    <w:bookmarkEnd w:id="43"/>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27" w:lineRule="exact"/>
        <w:rPr>
          <w:sz w:val="20"/>
          <w:szCs w:val="20"/>
          <w:color w:val="auto"/>
        </w:rPr>
      </w:pPr>
    </w:p>
    <w:p>
      <w:pPr>
        <w:jc w:val="both"/>
        <w:ind w:left="1440" w:right="1439" w:firstLine="269"/>
        <w:spacing w:after="0" w:line="267" w:lineRule="auto"/>
        <w:rPr>
          <w:sz w:val="20"/>
          <w:szCs w:val="20"/>
          <w:color w:val="auto"/>
        </w:rPr>
      </w:pPr>
      <w:r>
        <w:rPr>
          <w:rFonts w:ascii="Times New Roman" w:cs="Times New Roman" w:eastAsia="Times New Roman" w:hAnsi="Times New Roman"/>
          <w:sz w:val="13"/>
          <w:szCs w:val="13"/>
          <w:color w:val="auto"/>
        </w:rPr>
        <w:t>We are being represented by Cooley LLP with respect to certain legal matters of United States federal securities and New York state law. The validity of the ordinary shares represented by the ADSs offered in this offering and legal matters as to Cayman Islands law will be passed upon for us by Maples and Calder (Hong Kong) LLP. Certain legal matters as to PRC law will be passed upon for us by Commerce &amp; Finance Law Offices. Cooley LLP and Maples and Calder (Hong Kong) LLP may rely upon Commerce &amp; Finance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4" w:name="page45"/>
    <w:bookmarkEnd w:id="44"/>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27" w:lineRule="exact"/>
        <w:rPr>
          <w:sz w:val="20"/>
          <w:szCs w:val="20"/>
          <w:color w:val="auto"/>
        </w:rPr>
      </w:pPr>
    </w:p>
    <w:p>
      <w:pPr>
        <w:jc w:val="both"/>
        <w:ind w:left="1440" w:right="1459" w:firstLine="269"/>
        <w:spacing w:after="0" w:line="268" w:lineRule="auto"/>
        <w:rPr>
          <w:sz w:val="20"/>
          <w:szCs w:val="20"/>
          <w:color w:val="auto"/>
        </w:rPr>
      </w:pPr>
      <w:r>
        <w:rPr>
          <w:rFonts w:ascii="Times New Roman" w:cs="Times New Roman" w:eastAsia="Times New Roman" w:hAnsi="Times New Roman"/>
          <w:sz w:val="13"/>
          <w:szCs w:val="13"/>
          <w:color w:val="auto"/>
        </w:rPr>
        <w:t>The consolidated financial statements of Canaan Inc.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5" w:name="page46"/>
    <w:bookmarkEnd w:id="45"/>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 ABOUT US</w:t>
      </w:r>
    </w:p>
    <w:p>
      <w:pPr>
        <w:spacing w:after="0" w:line="127" w:lineRule="exact"/>
        <w:rPr>
          <w:sz w:val="20"/>
          <w:szCs w:val="20"/>
          <w:color w:val="auto"/>
        </w:rPr>
      </w:pPr>
    </w:p>
    <w:p>
      <w:pPr>
        <w:jc w:val="both"/>
        <w:ind w:left="1440" w:right="1439" w:firstLine="269"/>
        <w:spacing w:after="0" w:line="265" w:lineRule="auto"/>
        <w:rPr>
          <w:sz w:val="20"/>
          <w:szCs w:val="20"/>
          <w:color w:val="auto"/>
        </w:rPr>
      </w:pPr>
      <w:r>
        <w:rPr>
          <w:rFonts w:ascii="Times New Roman" w:cs="Times New Roman" w:eastAsia="Times New Roman" w:hAnsi="Times New Roman"/>
          <w:sz w:val="13"/>
          <w:szCs w:val="13"/>
          <w:color w:val="auto"/>
        </w:rPr>
        <w:t>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www.sec.gov.</w:t>
      </w:r>
    </w:p>
    <w:p>
      <w:pPr>
        <w:spacing w:after="0" w:line="248"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Our corporate website is www.canaan-creative.com. The information contained on our websites is not a part of this prospectus. Our agent for service of process in the United States is Cogency Global Inc., located at 122 East 42nd Street, 18th Floor, New York, New York 10168.</w:t>
      </w:r>
    </w:p>
    <w:p>
      <w:pPr>
        <w:spacing w:after="0" w:line="66" w:lineRule="exact"/>
        <w:rPr>
          <w:sz w:val="20"/>
          <w:szCs w:val="20"/>
          <w:color w:val="auto"/>
        </w:rPr>
      </w:pPr>
    </w:p>
    <w:p>
      <w:pPr>
        <w:jc w:val="both"/>
        <w:ind w:left="1440" w:right="1459" w:firstLine="269"/>
        <w:spacing w:after="0" w:line="267"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6" w:name="page47"/>
    <w:bookmarkEnd w:id="46"/>
    <w:p>
      <w:pPr>
        <w:ind w:left="5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DOCUMENTS BY REFERENCE</w:t>
      </w:r>
    </w:p>
    <w:p>
      <w:pPr>
        <w:spacing w:after="0" w:line="127" w:lineRule="exact"/>
        <w:rPr>
          <w:sz w:val="20"/>
          <w:szCs w:val="20"/>
          <w:color w:val="auto"/>
        </w:rPr>
      </w:pPr>
    </w:p>
    <w:p>
      <w:pPr>
        <w:jc w:val="both"/>
        <w:ind w:left="1440" w:right="1459" w:firstLine="269"/>
        <w:spacing w:after="0" w:line="263" w:lineRule="auto"/>
        <w:rPr>
          <w:sz w:val="20"/>
          <w:szCs w:val="20"/>
          <w:color w:val="auto"/>
        </w:rPr>
      </w:pPr>
      <w:r>
        <w:rPr>
          <w:rFonts w:ascii="Times New Roman" w:cs="Times New Roman" w:eastAsia="Times New Roman" w:hAnsi="Times New Roman"/>
          <w:sz w:val="13"/>
          <w:szCs w:val="13"/>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8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We incorporate by reference the following documents:</w:t>
      </w:r>
    </w:p>
    <w:p>
      <w:pPr>
        <w:spacing w:after="0" w:line="93" w:lineRule="exact"/>
        <w:rPr>
          <w:sz w:val="20"/>
          <w:szCs w:val="20"/>
          <w:color w:val="auto"/>
        </w:rPr>
      </w:pPr>
    </w:p>
    <w:p>
      <w:pPr>
        <w:ind w:left="1840" w:hanging="136"/>
        <w:spacing w:after="0"/>
        <w:tabs>
          <w:tab w:leader="none" w:pos="18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w:t>
      </w:r>
      <w:hyperlink r:id="rId16">
        <w:r>
          <w:rPr>
            <w:rFonts w:ascii="Times New Roman" w:cs="Times New Roman" w:eastAsia="Times New Roman" w:hAnsi="Times New Roman"/>
            <w:sz w:val="13"/>
            <w:szCs w:val="13"/>
            <w:u w:val="single" w:color="auto"/>
            <w:color w:val="0000EE"/>
          </w:rPr>
          <w:t>annual report on Form 20-F for the fiscal year ended December 31, 2024 filed on April 18, 2025</w:t>
        </w:r>
      </w:hyperlink>
      <w:r>
        <w:rPr>
          <w:rFonts w:ascii="Times New Roman" w:cs="Times New Roman" w:eastAsia="Times New Roman" w:hAnsi="Times New Roman"/>
          <w:sz w:val="13"/>
          <w:szCs w:val="13"/>
          <w:color w:val="auto"/>
        </w:rPr>
        <w:t>;</w:t>
      </w:r>
    </w:p>
    <w:p>
      <w:pPr>
        <w:spacing w:after="0" w:line="92" w:lineRule="exact"/>
        <w:rPr>
          <w:rFonts w:ascii="Times New Roman" w:cs="Times New Roman" w:eastAsia="Times New Roman" w:hAnsi="Times New Roman"/>
          <w:sz w:val="13"/>
          <w:szCs w:val="13"/>
          <w:color w:val="auto"/>
        </w:rPr>
      </w:pPr>
    </w:p>
    <w:p>
      <w:pPr>
        <w:jc w:val="both"/>
        <w:ind w:left="1840" w:right="1459" w:hanging="136"/>
        <w:spacing w:after="0" w:line="271" w:lineRule="auto"/>
        <w:tabs>
          <w:tab w:leader="none" w:pos="1840" w:val="left"/>
        </w:tabs>
        <w:numPr>
          <w:ilvl w:val="0"/>
          <w:numId w:val="26"/>
        </w:numPr>
        <w:rPr>
          <w:rFonts w:ascii="Times New Roman" w:cs="Times New Roman" w:eastAsia="Times New Roman" w:hAnsi="Times New Roman"/>
          <w:sz w:val="13"/>
          <w:szCs w:val="13"/>
          <w:color w:val="000000"/>
        </w:rPr>
      </w:pPr>
      <w:r>
        <w:rPr>
          <w:rFonts w:ascii="Times New Roman" w:cs="Times New Roman" w:eastAsia="Times New Roman" w:hAnsi="Times New Roman"/>
          <w:sz w:val="13"/>
          <w:szCs w:val="13"/>
          <w:color w:val="auto"/>
        </w:rPr>
        <w:t xml:space="preserve">our </w:t>
      </w:r>
      <w:hyperlink r:id="rId74">
        <w:r>
          <w:rPr>
            <w:rFonts w:ascii="Times New Roman" w:cs="Times New Roman" w:eastAsia="Times New Roman" w:hAnsi="Times New Roman"/>
            <w:sz w:val="13"/>
            <w:szCs w:val="13"/>
            <w:u w:val="single" w:color="auto"/>
            <w:color w:val="0000EE"/>
          </w:rPr>
          <w:t>reports on Form 6-K filed with the SEC on: August 14, 2025</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regarding our second quarter financial results, </w:t>
      </w:r>
      <w:hyperlink r:id="rId75">
        <w:r>
          <w:rPr>
            <w:rFonts w:ascii="Times New Roman" w:cs="Times New Roman" w:eastAsia="Times New Roman" w:hAnsi="Times New Roman"/>
            <w:sz w:val="13"/>
            <w:szCs w:val="13"/>
            <w:u w:val="single" w:color="auto"/>
            <w:color w:val="0000EE"/>
          </w:rPr>
          <w:t>October 24, 2025</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regarding the 2025 ATM Agreement with the sales agents, </w:t>
      </w:r>
      <w:hyperlink r:id="rId76">
        <w:r>
          <w:rPr>
            <w:rFonts w:ascii="Times New Roman" w:cs="Times New Roman" w:eastAsia="Times New Roman" w:hAnsi="Times New Roman"/>
            <w:sz w:val="13"/>
            <w:szCs w:val="13"/>
            <w:u w:val="single" w:color="auto"/>
            <w:color w:val="0000EE"/>
          </w:rPr>
          <w:t>November 4, 2025</w:t>
        </w:r>
        <w:r>
          <w:rPr>
            <w:rFonts w:ascii="Times New Roman" w:cs="Times New Roman" w:eastAsia="Times New Roman" w:hAnsi="Times New Roman"/>
            <w:sz w:val="13"/>
            <w:szCs w:val="13"/>
            <w:color w:val="0000EE"/>
          </w:rPr>
          <w:t xml:space="preserve"> </w:t>
        </w:r>
      </w:hyperlink>
      <w:r>
        <w:rPr>
          <w:rFonts w:ascii="Times New Roman" w:cs="Times New Roman" w:eastAsia="Times New Roman" w:hAnsi="Times New Roman"/>
          <w:sz w:val="13"/>
          <w:szCs w:val="13"/>
          <w:color w:val="000000"/>
        </w:rPr>
        <w:t>regarding</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the November 2025 RDO,</w:t>
      </w:r>
      <w:r>
        <w:rPr>
          <w:rFonts w:ascii="Times New Roman" w:cs="Times New Roman" w:eastAsia="Times New Roman" w:hAnsi="Times New Roman"/>
          <w:sz w:val="13"/>
          <w:szCs w:val="13"/>
          <w:color w:val="0000EE"/>
        </w:rPr>
        <w:t xml:space="preserve"> </w:t>
      </w:r>
      <w:hyperlink r:id="rId77">
        <w:r>
          <w:rPr>
            <w:rFonts w:ascii="Times New Roman" w:cs="Times New Roman" w:eastAsia="Times New Roman" w:hAnsi="Times New Roman"/>
            <w:sz w:val="13"/>
            <w:szCs w:val="13"/>
            <w:u w:val="single" w:color="auto"/>
            <w:color w:val="0000EE"/>
          </w:rPr>
          <w:t xml:space="preserve">November 18, 2025 </w:t>
        </w:r>
      </w:hyperlink>
      <w:r>
        <w:rPr>
          <w:rFonts w:ascii="Times New Roman" w:cs="Times New Roman" w:eastAsia="Times New Roman" w:hAnsi="Times New Roman"/>
          <w:sz w:val="13"/>
          <w:szCs w:val="13"/>
          <w:color w:val="000000"/>
        </w:rPr>
        <w:t>regarding</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our third</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 xml:space="preserve">quarter financial results and </w:t>
      </w:r>
      <w:hyperlink r:id="rId78">
        <w:r>
          <w:rPr>
            <w:rFonts w:ascii="Times New Roman" w:cs="Times New Roman" w:eastAsia="Times New Roman" w:hAnsi="Times New Roman"/>
            <w:sz w:val="13"/>
            <w:szCs w:val="13"/>
            <w:u w:val="single" w:color="auto"/>
            <w:color w:val="0000EE"/>
          </w:rPr>
          <w:t>February 10, 2026</w:t>
        </w:r>
        <w:r>
          <w:rPr>
            <w:rFonts w:ascii="Times New Roman" w:cs="Times New Roman" w:eastAsia="Times New Roman" w:hAnsi="Times New Roman"/>
            <w:sz w:val="13"/>
            <w:szCs w:val="13"/>
            <w:u w:val="single" w:color="auto"/>
            <w:color w:val="000000"/>
          </w:rPr>
          <w:t xml:space="preserve"> </w:t>
        </w:r>
      </w:hyperlink>
      <w:r>
        <w:rPr>
          <w:rFonts w:ascii="Times New Roman" w:cs="Times New Roman" w:eastAsia="Times New Roman" w:hAnsi="Times New Roman"/>
          <w:sz w:val="13"/>
          <w:szCs w:val="13"/>
          <w:color w:val="000000"/>
        </w:rPr>
        <w:t>regarding our fourth quarter and full year 2025 financial results;</w:t>
      </w:r>
    </w:p>
    <w:p>
      <w:pPr>
        <w:spacing w:after="0" w:line="213" w:lineRule="exact"/>
        <w:rPr>
          <w:rFonts w:ascii="Times New Roman" w:cs="Times New Roman" w:eastAsia="Times New Roman" w:hAnsi="Times New Roman"/>
          <w:sz w:val="13"/>
          <w:szCs w:val="13"/>
          <w:color w:val="000000"/>
        </w:rPr>
      </w:pPr>
    </w:p>
    <w:p>
      <w:pPr>
        <w:jc w:val="both"/>
        <w:ind w:left="1840" w:right="1459" w:hanging="136"/>
        <w:spacing w:after="0" w:line="272" w:lineRule="auto"/>
        <w:tabs>
          <w:tab w:leader="none" w:pos="1840" w:val="left"/>
        </w:tabs>
        <w:numPr>
          <w:ilvl w:val="0"/>
          <w:numId w:val="26"/>
        </w:numPr>
        <w:rPr>
          <w:rFonts w:ascii="Times New Roman" w:cs="Times New Roman" w:eastAsia="Times New Roman" w:hAnsi="Times New Roman"/>
          <w:sz w:val="13"/>
          <w:szCs w:val="13"/>
          <w:color w:val="0000EE"/>
        </w:rPr>
      </w:pPr>
      <w:hyperlink r:id="rId79">
        <w:r>
          <w:rPr>
            <w:rFonts w:ascii="Times New Roman" w:cs="Times New Roman" w:eastAsia="Times New Roman" w:hAnsi="Times New Roman"/>
            <w:sz w:val="13"/>
            <w:szCs w:val="13"/>
            <w:color w:val="auto"/>
          </w:rPr>
          <w:t xml:space="preserve">the description of our securities contained in our registration statement on </w:t>
        </w:r>
        <w:r>
          <w:rPr>
            <w:rFonts w:ascii="Times New Roman" w:cs="Times New Roman" w:eastAsia="Times New Roman" w:hAnsi="Times New Roman"/>
            <w:sz w:val="13"/>
            <w:szCs w:val="13"/>
            <w:u w:val="single" w:color="auto"/>
            <w:color w:val="0000EE"/>
          </w:rPr>
          <w:t>Form 8-A filed with the</w:t>
        </w:r>
      </w:hyperlink>
      <w:r>
        <w:rPr>
          <w:rFonts w:ascii="Times New Roman" w:cs="Times New Roman" w:eastAsia="Times New Roman" w:hAnsi="Times New Roman"/>
          <w:sz w:val="13"/>
          <w:szCs w:val="13"/>
          <w:color w:val="auto"/>
        </w:rPr>
        <w:t xml:space="preserve"> </w:t>
      </w:r>
      <w:hyperlink r:id="rId79">
        <w:r>
          <w:rPr>
            <w:rFonts w:ascii="Times New Roman" w:cs="Times New Roman" w:eastAsia="Times New Roman" w:hAnsi="Times New Roman"/>
            <w:sz w:val="13"/>
            <w:szCs w:val="13"/>
            <w:u w:val="single" w:color="auto"/>
            <w:color w:val="0000EE"/>
          </w:rPr>
          <w:t>SEC on November 6, 2019</w:t>
        </w:r>
        <w:r>
          <w:rPr>
            <w:rFonts w:ascii="Times New Roman" w:cs="Times New Roman" w:eastAsia="Times New Roman" w:hAnsi="Times New Roman"/>
            <w:sz w:val="13"/>
            <w:szCs w:val="13"/>
            <w:color w:val="000000"/>
          </w:rPr>
          <w:t>, as updated by</w:t>
        </w:r>
        <w:r>
          <w:rPr>
            <w:rFonts w:ascii="Times New Roman" w:cs="Times New Roman" w:eastAsia="Times New Roman" w:hAnsi="Times New Roman"/>
            <w:sz w:val="13"/>
            <w:szCs w:val="13"/>
            <w:color w:val="0000EE"/>
          </w:rPr>
          <w:t xml:space="preserve"> </w:t>
        </w:r>
      </w:hyperlink>
      <w:hyperlink r:id="rId80">
        <w:r>
          <w:rPr>
            <w:rFonts w:ascii="Times New Roman" w:cs="Times New Roman" w:eastAsia="Times New Roman" w:hAnsi="Times New Roman"/>
            <w:sz w:val="13"/>
            <w:szCs w:val="13"/>
            <w:u w:val="single" w:color="auto"/>
            <w:color w:val="0000EE"/>
          </w:rPr>
          <w:t xml:space="preserve">Exhibit 2.2 </w:t>
        </w:r>
      </w:hyperlink>
      <w:hyperlink r:id="rId79">
        <w:r>
          <w:rPr>
            <w:rFonts w:ascii="Times New Roman" w:cs="Times New Roman" w:eastAsia="Times New Roman" w:hAnsi="Times New Roman"/>
            <w:sz w:val="13"/>
            <w:szCs w:val="13"/>
            <w:color w:val="000000"/>
          </w:rPr>
          <w:t>to our Annual Report on Form 20-F for the</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fiscal year ended December 31, 2019 filed with the SEC on April 15, 2020, and including any amendments or reports filed for purposes of updating such descriptions;</w:t>
      </w:r>
    </w:p>
    <w:p>
      <w:pPr>
        <w:spacing w:after="0" w:line="49" w:lineRule="exact"/>
        <w:rPr>
          <w:rFonts w:ascii="Times New Roman" w:cs="Times New Roman" w:eastAsia="Times New Roman" w:hAnsi="Times New Roman"/>
          <w:sz w:val="13"/>
          <w:szCs w:val="13"/>
          <w:color w:val="0000EE"/>
        </w:rPr>
      </w:pPr>
    </w:p>
    <w:p>
      <w:pPr>
        <w:ind w:left="1840" w:right="1459" w:hanging="136"/>
        <w:spacing w:after="0" w:line="298" w:lineRule="auto"/>
        <w:tabs>
          <w:tab w:leader="none" w:pos="18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annual reports on Form 20-F filed with the SEC after the date of this prospectus and prior to the termination of the offering of the securities offered by this prospectus; and</w:t>
      </w:r>
    </w:p>
    <w:p>
      <w:pPr>
        <w:spacing w:after="0" w:line="32" w:lineRule="exact"/>
        <w:rPr>
          <w:rFonts w:ascii="Times New Roman" w:cs="Times New Roman" w:eastAsia="Times New Roman" w:hAnsi="Times New Roman"/>
          <w:sz w:val="13"/>
          <w:szCs w:val="13"/>
          <w:color w:val="auto"/>
        </w:rPr>
      </w:pPr>
    </w:p>
    <w:p>
      <w:pPr>
        <w:ind w:left="1840" w:right="1459" w:hanging="136"/>
        <w:spacing w:after="0" w:line="298" w:lineRule="auto"/>
        <w:tabs>
          <w:tab w:leader="none" w:pos="18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reports on Form 6-K that we furnish to the SEC after the date of this prospectus that are identified in such reports as being incorporated by reference in this prospectus.</w:t>
      </w:r>
    </w:p>
    <w:p>
      <w:pPr>
        <w:spacing w:after="0" w:line="53" w:lineRule="exact"/>
        <w:rPr>
          <w:rFonts w:ascii="Times New Roman" w:cs="Times New Roman" w:eastAsia="Times New Roman" w:hAnsi="Times New Roman"/>
          <w:sz w:val="13"/>
          <w:szCs w:val="13"/>
          <w:color w:val="0000EE"/>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Our annual report for the fiscal year ended December 31, 2024 contains a description of our business and audited consolidated financial statements with a report by our independent auditor. The consolidated financial statements are prepared and presented in accordance with U.S. GAAP.</w:t>
      </w:r>
    </w:p>
    <w:p>
      <w:pPr>
        <w:spacing w:after="0" w:line="76" w:lineRule="exact"/>
        <w:rPr>
          <w:rFonts w:ascii="Times New Roman" w:cs="Times New Roman" w:eastAsia="Times New Roman" w:hAnsi="Times New Roman"/>
          <w:sz w:val="13"/>
          <w:szCs w:val="13"/>
          <w:color w:val="0000EE"/>
        </w:rPr>
      </w:pPr>
    </w:p>
    <w:p>
      <w:pPr>
        <w:jc w:val="both"/>
        <w:ind w:left="1440" w:right="1439" w:firstLine="269"/>
        <w:spacing w:after="0" w:line="268" w:lineRule="auto"/>
        <w:rPr>
          <w:sz w:val="20"/>
          <w:szCs w:val="20"/>
          <w:color w:val="auto"/>
        </w:rPr>
      </w:pPr>
      <w:r>
        <w:rPr>
          <w:rFonts w:ascii="Times New Roman" w:cs="Times New Roman" w:eastAsia="Times New Roman" w:hAnsi="Times New Roman"/>
          <w:sz w:val="13"/>
          <w:szCs w:val="13"/>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246" w:lineRule="exact"/>
        <w:rPr>
          <w:rFonts w:ascii="Times New Roman" w:cs="Times New Roman" w:eastAsia="Times New Roman" w:hAnsi="Times New Roman"/>
          <w:sz w:val="13"/>
          <w:szCs w:val="13"/>
          <w:color w:val="0000EE"/>
        </w:rPr>
      </w:pPr>
    </w:p>
    <w:p>
      <w:pPr>
        <w:ind w:left="4160"/>
        <w:spacing w:after="0"/>
        <w:rPr>
          <w:sz w:val="20"/>
          <w:szCs w:val="20"/>
          <w:color w:val="auto"/>
        </w:rPr>
      </w:pPr>
      <w:r>
        <w:rPr>
          <w:rFonts w:ascii="Times New Roman" w:cs="Times New Roman" w:eastAsia="Times New Roman" w:hAnsi="Times New Roman"/>
          <w:sz w:val="13"/>
          <w:szCs w:val="13"/>
          <w:color w:val="auto"/>
        </w:rPr>
        <w:t>Canaan Inc.</w:t>
      </w:r>
    </w:p>
    <w:p>
      <w:pPr>
        <w:spacing w:after="0" w:line="24" w:lineRule="exact"/>
        <w:rPr>
          <w:rFonts w:ascii="Times New Roman" w:cs="Times New Roman" w:eastAsia="Times New Roman" w:hAnsi="Times New Roman"/>
          <w:sz w:val="13"/>
          <w:szCs w:val="13"/>
          <w:color w:val="0000EE"/>
        </w:rPr>
      </w:pPr>
    </w:p>
    <w:p>
      <w:pPr>
        <w:ind w:left="3820"/>
        <w:spacing w:after="0"/>
        <w:rPr>
          <w:sz w:val="20"/>
          <w:szCs w:val="20"/>
          <w:color w:val="auto"/>
        </w:rPr>
      </w:pPr>
      <w:r>
        <w:rPr>
          <w:rFonts w:ascii="Times New Roman" w:cs="Times New Roman" w:eastAsia="Times New Roman" w:hAnsi="Times New Roman"/>
          <w:sz w:val="13"/>
          <w:szCs w:val="13"/>
          <w:color w:val="auto"/>
        </w:rPr>
        <w:t>28 Ayer Rajah Crescent</w:t>
      </w:r>
    </w:p>
    <w:p>
      <w:pPr>
        <w:spacing w:after="0" w:line="12" w:lineRule="exact"/>
        <w:rPr>
          <w:rFonts w:ascii="Times New Roman" w:cs="Times New Roman" w:eastAsia="Times New Roman" w:hAnsi="Times New Roman"/>
          <w:sz w:val="13"/>
          <w:szCs w:val="13"/>
          <w:color w:val="0000EE"/>
        </w:rPr>
      </w:pPr>
    </w:p>
    <w:p>
      <w:pPr>
        <w:ind w:left="4280"/>
        <w:spacing w:after="0"/>
        <w:rPr>
          <w:sz w:val="20"/>
          <w:szCs w:val="20"/>
          <w:color w:val="auto"/>
        </w:rPr>
      </w:pPr>
      <w:r>
        <w:rPr>
          <w:rFonts w:ascii="Times New Roman" w:cs="Times New Roman" w:eastAsia="Times New Roman" w:hAnsi="Times New Roman"/>
          <w:sz w:val="13"/>
          <w:szCs w:val="13"/>
          <w:color w:val="auto"/>
        </w:rPr>
        <w:t>#06-08</w:t>
      </w:r>
    </w:p>
    <w:p>
      <w:pPr>
        <w:spacing w:after="0" w:line="12" w:lineRule="exact"/>
        <w:rPr>
          <w:rFonts w:ascii="Times New Roman" w:cs="Times New Roman" w:eastAsia="Times New Roman" w:hAnsi="Times New Roman"/>
          <w:sz w:val="13"/>
          <w:szCs w:val="13"/>
          <w:color w:val="0000EE"/>
        </w:rPr>
      </w:pPr>
    </w:p>
    <w:p>
      <w:pPr>
        <w:ind w:left="3980"/>
        <w:spacing w:after="0"/>
        <w:rPr>
          <w:sz w:val="20"/>
          <w:szCs w:val="20"/>
          <w:color w:val="auto"/>
        </w:rPr>
      </w:pPr>
      <w:r>
        <w:rPr>
          <w:rFonts w:ascii="Times New Roman" w:cs="Times New Roman" w:eastAsia="Times New Roman" w:hAnsi="Times New Roman"/>
          <w:sz w:val="13"/>
          <w:szCs w:val="13"/>
          <w:color w:val="auto"/>
        </w:rPr>
        <w:t>Singapore 139959</w:t>
      </w:r>
    </w:p>
    <w:p>
      <w:pPr>
        <w:spacing w:after="0" w:line="12" w:lineRule="exact"/>
        <w:rPr>
          <w:rFonts w:ascii="Times New Roman" w:cs="Times New Roman" w:eastAsia="Times New Roman" w:hAnsi="Times New Roman"/>
          <w:sz w:val="13"/>
          <w:szCs w:val="13"/>
          <w:color w:val="0000EE"/>
        </w:rPr>
      </w:pPr>
    </w:p>
    <w:p>
      <w:pPr>
        <w:ind w:left="3960"/>
        <w:spacing w:after="0"/>
        <w:rPr>
          <w:sz w:val="20"/>
          <w:szCs w:val="20"/>
          <w:color w:val="auto"/>
        </w:rPr>
      </w:pPr>
      <w:r>
        <w:rPr>
          <w:rFonts w:ascii="Times New Roman" w:cs="Times New Roman" w:eastAsia="Times New Roman" w:hAnsi="Times New Roman"/>
          <w:sz w:val="13"/>
          <w:szCs w:val="13"/>
          <w:color w:val="auto"/>
        </w:rPr>
        <w:t>Tel: +65 6305 6618</w:t>
      </w:r>
    </w:p>
    <w:p>
      <w:pPr>
        <w:spacing w:after="0" w:line="101" w:lineRule="exact"/>
        <w:rPr>
          <w:rFonts w:ascii="Times New Roman" w:cs="Times New Roman" w:eastAsia="Times New Roman" w:hAnsi="Times New Roman"/>
          <w:sz w:val="13"/>
          <w:szCs w:val="13"/>
          <w:color w:val="0000EE"/>
        </w:rPr>
      </w:pPr>
    </w:p>
    <w:p>
      <w:pPr>
        <w:jc w:val="both"/>
        <w:ind w:left="1440" w:right="1459" w:firstLine="269"/>
        <w:spacing w:after="0" w:line="272" w:lineRule="auto"/>
        <w:rPr>
          <w:sz w:val="20"/>
          <w:szCs w:val="20"/>
          <w:color w:val="auto"/>
        </w:rPr>
      </w:pPr>
      <w:r>
        <w:rPr>
          <w:rFonts w:ascii="Times New Roman" w:cs="Times New Roman" w:eastAsia="Times New Roman" w:hAnsi="Times New Roman"/>
          <w:sz w:val="13"/>
          <w:szCs w:val="13"/>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3"/>
          <w:szCs w:val="13"/>
          <w:color w:val="0000EE"/>
        </w:rPr>
      </w:pPr>
    </w:p>
    <w:p>
      <w:pPr>
        <w:spacing w:after="0" w:line="200" w:lineRule="exact"/>
        <w:rPr>
          <w:rFonts w:ascii="Times New Roman" w:cs="Times New Roman" w:eastAsia="Times New Roman" w:hAnsi="Times New Roman"/>
          <w:sz w:val="13"/>
          <w:szCs w:val="13"/>
          <w:color w:val="0000EE"/>
        </w:rPr>
      </w:pPr>
    </w:p>
    <w:p>
      <w:pPr>
        <w:spacing w:after="0" w:line="255" w:lineRule="exact"/>
        <w:rPr>
          <w:rFonts w:ascii="Times New Roman" w:cs="Times New Roman" w:eastAsia="Times New Roman" w:hAnsi="Times New Roman"/>
          <w:sz w:val="13"/>
          <w:szCs w:val="13"/>
          <w:color w:val="0000EE"/>
        </w:rPr>
      </w:pPr>
    </w:p>
    <w:p>
      <w:pPr>
        <w:jc w:val="center"/>
        <w:ind w:right="3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0000EE"/>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7" w:name="page48"/>
    <w:bookmarkEnd w:id="47"/>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ITEM 8. INDEMNIFICATION OF DIRECTORS AND OFFICERS</w:t>
      </w:r>
    </w:p>
    <w:p>
      <w:pPr>
        <w:spacing w:after="0" w:line="127" w:lineRule="exact"/>
        <w:rPr>
          <w:sz w:val="20"/>
          <w:szCs w:val="20"/>
          <w:color w:val="auto"/>
        </w:rPr>
      </w:pPr>
    </w:p>
    <w:p>
      <w:pPr>
        <w:jc w:val="both"/>
        <w:ind w:left="1440" w:right="1459" w:firstLine="269"/>
        <w:spacing w:after="0" w:line="250" w:lineRule="auto"/>
        <w:rPr>
          <w:sz w:val="20"/>
          <w:szCs w:val="20"/>
          <w:color w:val="auto"/>
        </w:rPr>
      </w:pPr>
      <w:r>
        <w:rPr>
          <w:rFonts w:ascii="Times New Roman" w:cs="Times New Roman" w:eastAsia="Times New Roman" w:hAnsi="Times New Roman"/>
          <w:sz w:val="13"/>
          <w:szCs w:val="13"/>
          <w:color w:val="auto"/>
        </w:rPr>
        <w:t>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243" w:lineRule="exact"/>
        <w:rPr>
          <w:sz w:val="20"/>
          <w:szCs w:val="20"/>
          <w:color w:val="auto"/>
        </w:rPr>
      </w:pPr>
    </w:p>
    <w:p>
      <w:pPr>
        <w:jc w:val="both"/>
        <w:ind w:left="1440" w:right="1459" w:firstLine="269"/>
        <w:spacing w:after="0" w:line="261" w:lineRule="auto"/>
        <w:rPr>
          <w:sz w:val="20"/>
          <w:szCs w:val="20"/>
          <w:color w:val="auto"/>
        </w:rPr>
      </w:pPr>
      <w:r>
        <w:rPr>
          <w:rFonts w:ascii="Times New Roman" w:cs="Times New Roman" w:eastAsia="Times New Roman" w:hAnsi="Times New Roman"/>
          <w:sz w:val="13"/>
          <w:szCs w:val="13"/>
          <w:color w:val="auto"/>
        </w:rPr>
        <w:t>Under the indemnification agreements with our directors and executive officers, the form of which was filed as Exhibit 10.2 to our registration statement on Form F-1, as amended (File No. 333-234356), we have agreed to indemnify our directors and executive officers against certain liabilities and expenses incurred by such persons in connection with claims made by reason of their being such a director or executive officer.</w:t>
      </w:r>
    </w:p>
    <w:p>
      <w:pPr>
        <w:spacing w:after="0" w:line="77" w:lineRule="exact"/>
        <w:rPr>
          <w:sz w:val="20"/>
          <w:szCs w:val="20"/>
          <w:color w:val="auto"/>
        </w:rPr>
      </w:pPr>
    </w:p>
    <w:p>
      <w:pPr>
        <w:jc w:val="both"/>
        <w:ind w:left="1440" w:right="1459" w:firstLine="269"/>
        <w:spacing w:after="0" w:line="298" w:lineRule="auto"/>
        <w:rPr>
          <w:sz w:val="20"/>
          <w:szCs w:val="20"/>
          <w:color w:val="auto"/>
        </w:rPr>
      </w:pPr>
      <w:r>
        <w:rPr>
          <w:rFonts w:ascii="Times New Roman" w:cs="Times New Roman" w:eastAsia="Times New Roman" w:hAnsi="Times New Roman"/>
          <w:sz w:val="13"/>
          <w:szCs w:val="13"/>
          <w:color w:val="auto"/>
        </w:rPr>
        <w:t>Any underwriting agreement entered into in connection with an offering of our securities may also provide for indemnification of us and our officers and directors in certain cases.</w:t>
      </w:r>
    </w:p>
    <w:p>
      <w:pPr>
        <w:spacing w:after="0" w:line="43" w:lineRule="exact"/>
        <w:rPr>
          <w:sz w:val="20"/>
          <w:szCs w:val="20"/>
          <w:color w:val="auto"/>
        </w:rPr>
      </w:pPr>
    </w:p>
    <w:p>
      <w:pPr>
        <w:jc w:val="both"/>
        <w:ind w:left="1440" w:right="1459" w:firstLine="269"/>
        <w:spacing w:after="0" w:line="264"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We also maintain a directors and officers liability insurance policy for our directors and officers.</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ITEM 9. EXHIBITS</w:t>
      </w:r>
    </w:p>
    <w:p>
      <w:pPr>
        <w:spacing w:after="0" w:line="1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See Exhibit Index beginning on page II-4 of this registration statement.</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ITEM 10. UNDERTAKINGS.</w:t>
      </w:r>
    </w:p>
    <w:p>
      <w:pPr>
        <w:spacing w:after="0" w:line="127" w:lineRule="exact"/>
        <w:rPr>
          <w:sz w:val="20"/>
          <w:szCs w:val="20"/>
          <w:color w:val="auto"/>
        </w:rPr>
      </w:pPr>
    </w:p>
    <w:p>
      <w:pPr>
        <w:ind w:left="1960" w:hanging="256"/>
        <w:spacing w:after="0"/>
        <w:tabs>
          <w:tab w:leader="none" w:pos="19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w:t>
      </w:r>
    </w:p>
    <w:p>
      <w:pPr>
        <w:spacing w:after="0" w:line="112" w:lineRule="exact"/>
        <w:rPr>
          <w:rFonts w:ascii="Times New Roman" w:cs="Times New Roman" w:eastAsia="Times New Roman" w:hAnsi="Times New Roman"/>
          <w:sz w:val="13"/>
          <w:szCs w:val="13"/>
          <w:color w:val="auto"/>
        </w:rPr>
      </w:pPr>
    </w:p>
    <w:p>
      <w:pPr>
        <w:ind w:left="1700" w:right="1459" w:firstLine="273"/>
        <w:spacing w:after="0" w:line="298" w:lineRule="auto"/>
        <w:tabs>
          <w:tab w:leader="none" w:pos="236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52" w:lineRule="exact"/>
        <w:rPr>
          <w:rFonts w:ascii="Times New Roman" w:cs="Times New Roman" w:eastAsia="Times New Roman" w:hAnsi="Times New Roman"/>
          <w:sz w:val="13"/>
          <w:szCs w:val="13"/>
          <w:color w:val="auto"/>
        </w:rPr>
      </w:pPr>
    </w:p>
    <w:p>
      <w:pPr>
        <w:ind w:left="2480" w:hanging="237"/>
        <w:spacing w:after="0"/>
        <w:tabs>
          <w:tab w:leader="none" w:pos="2480"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12" w:lineRule="exact"/>
        <w:rPr>
          <w:rFonts w:ascii="Times New Roman" w:cs="Times New Roman" w:eastAsia="Times New Roman" w:hAnsi="Times New Roman"/>
          <w:sz w:val="13"/>
          <w:szCs w:val="13"/>
          <w:color w:val="auto"/>
        </w:rPr>
      </w:pPr>
    </w:p>
    <w:p>
      <w:pPr>
        <w:jc w:val="both"/>
        <w:ind w:left="1980" w:right="1459" w:firstLine="263"/>
        <w:spacing w:after="0" w:line="264" w:lineRule="auto"/>
        <w:tabs>
          <w:tab w:leader="none" w:pos="2585"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33" w:lineRule="exact"/>
        <w:rPr>
          <w:rFonts w:ascii="Times New Roman" w:cs="Times New Roman" w:eastAsia="Times New Roman" w:hAnsi="Times New Roman"/>
          <w:sz w:val="13"/>
          <w:szCs w:val="13"/>
          <w:color w:val="auto"/>
        </w:rPr>
      </w:pPr>
    </w:p>
    <w:p>
      <w:pPr>
        <w:jc w:val="both"/>
        <w:ind w:left="1980" w:right="1459" w:firstLine="263"/>
        <w:spacing w:after="0" w:line="257" w:lineRule="auto"/>
        <w:tabs>
          <w:tab w:leader="none" w:pos="2584"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8" w:name="page49"/>
    <w:bookmarkEnd w:id="48"/>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980" w:right="1459" w:firstLine="263"/>
        <w:spacing w:after="0" w:line="278" w:lineRule="auto"/>
        <w:tabs>
          <w:tab w:leader="none" w:pos="267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74" w:lineRule="exact"/>
        <w:rPr>
          <w:sz w:val="20"/>
          <w:szCs w:val="20"/>
          <w:color w:val="auto"/>
        </w:rPr>
      </w:pPr>
    </w:p>
    <w:p>
      <w:pPr>
        <w:jc w:val="both"/>
        <w:ind w:left="1700" w:right="1459"/>
        <w:spacing w:after="0" w:line="269"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paragraphs (a)(1)(i), (a)(1)(ii) and (a)(1)(iii) of this item do not apply if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3" w:lineRule="exact"/>
        <w:rPr>
          <w:sz w:val="20"/>
          <w:szCs w:val="20"/>
          <w:color w:val="auto"/>
        </w:rPr>
      </w:pPr>
    </w:p>
    <w:p>
      <w:pPr>
        <w:jc w:val="both"/>
        <w:ind w:left="1700" w:right="1459" w:firstLine="273"/>
        <w:spacing w:after="0" w:line="276" w:lineRule="auto"/>
        <w:tabs>
          <w:tab w:leader="none" w:pos="227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31" w:lineRule="exact"/>
        <w:rPr>
          <w:rFonts w:ascii="Times New Roman" w:cs="Times New Roman" w:eastAsia="Times New Roman" w:hAnsi="Times New Roman"/>
          <w:sz w:val="13"/>
          <w:szCs w:val="13"/>
          <w:color w:val="auto"/>
        </w:rPr>
      </w:pPr>
    </w:p>
    <w:p>
      <w:pPr>
        <w:ind w:left="1700" w:right="1439" w:firstLine="273"/>
        <w:spacing w:after="0" w:line="298" w:lineRule="auto"/>
        <w:tabs>
          <w:tab w:leader="none" w:pos="2286"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62" w:lineRule="exact"/>
        <w:rPr>
          <w:rFonts w:ascii="Times New Roman" w:cs="Times New Roman" w:eastAsia="Times New Roman" w:hAnsi="Times New Roman"/>
          <w:sz w:val="13"/>
          <w:szCs w:val="13"/>
          <w:color w:val="auto"/>
        </w:rPr>
      </w:pPr>
    </w:p>
    <w:p>
      <w:pPr>
        <w:jc w:val="both"/>
        <w:ind w:left="1700" w:right="1459" w:firstLine="273"/>
        <w:spacing w:after="0" w:line="263" w:lineRule="auto"/>
        <w:tabs>
          <w:tab w:leader="none" w:pos="231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85" w:lineRule="exact"/>
        <w:rPr>
          <w:rFonts w:ascii="Times New Roman" w:cs="Times New Roman" w:eastAsia="Times New Roman" w:hAnsi="Times New Roman"/>
          <w:sz w:val="13"/>
          <w:szCs w:val="13"/>
          <w:color w:val="auto"/>
        </w:rPr>
      </w:pPr>
    </w:p>
    <w:p>
      <w:pPr>
        <w:ind w:left="2240" w:hanging="266"/>
        <w:spacing w:after="0"/>
        <w:tabs>
          <w:tab w:leader="none" w:pos="2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w:t>
      </w:r>
    </w:p>
    <w:p>
      <w:pPr>
        <w:spacing w:after="0" w:line="112" w:lineRule="exact"/>
        <w:rPr>
          <w:rFonts w:ascii="Times New Roman" w:cs="Times New Roman" w:eastAsia="Times New Roman" w:hAnsi="Times New Roman"/>
          <w:sz w:val="13"/>
          <w:szCs w:val="13"/>
          <w:color w:val="auto"/>
        </w:rPr>
      </w:pPr>
    </w:p>
    <w:p>
      <w:pPr>
        <w:jc w:val="both"/>
        <w:ind w:left="1980" w:right="1439" w:firstLine="263"/>
        <w:spacing w:after="0" w:line="278" w:lineRule="auto"/>
        <w:tabs>
          <w:tab w:leader="none" w:pos="2513"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6" w:lineRule="exact"/>
        <w:rPr>
          <w:rFonts w:ascii="Times New Roman" w:cs="Times New Roman" w:eastAsia="Times New Roman" w:hAnsi="Times New Roman"/>
          <w:sz w:val="13"/>
          <w:szCs w:val="13"/>
          <w:color w:val="auto"/>
        </w:rPr>
      </w:pPr>
    </w:p>
    <w:p>
      <w:pPr>
        <w:jc w:val="both"/>
        <w:ind w:left="1980" w:right="1439" w:firstLine="263"/>
        <w:spacing w:after="0" w:line="262" w:lineRule="auto"/>
        <w:tabs>
          <w:tab w:leader="none" w:pos="2556"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9" w:name="page50"/>
    <w:bookmarkEnd w:id="49"/>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700" w:right="1459" w:firstLine="273"/>
        <w:spacing w:after="0" w:line="298" w:lineRule="auto"/>
        <w:tabs>
          <w:tab w:leader="none" w:pos="2252"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to any purchaser in the initial distribution of the securities:</w:t>
      </w:r>
    </w:p>
    <w:p>
      <w:pPr>
        <w:spacing w:after="0" w:line="63" w:lineRule="exact"/>
        <w:rPr>
          <w:sz w:val="20"/>
          <w:szCs w:val="20"/>
          <w:color w:val="auto"/>
        </w:rPr>
      </w:pPr>
    </w:p>
    <w:p>
      <w:pPr>
        <w:jc w:val="both"/>
        <w:ind w:left="1700" w:right="1459" w:firstLine="269"/>
        <w:spacing w:after="0" w:line="269" w:lineRule="auto"/>
        <w:rPr>
          <w:sz w:val="20"/>
          <w:szCs w:val="20"/>
          <w:color w:val="auto"/>
        </w:rPr>
      </w:pPr>
      <w:r>
        <w:rPr>
          <w:rFonts w:ascii="Times New Roman" w:cs="Times New Roman" w:eastAsia="Times New Roman" w:hAnsi="Times New Roman"/>
          <w:sz w:val="13"/>
          <w:szCs w:val="13"/>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sz w:val="20"/>
          <w:szCs w:val="20"/>
          <w:color w:val="auto"/>
        </w:rPr>
      </w:pPr>
    </w:p>
    <w:p>
      <w:pPr>
        <w:ind w:left="1980" w:right="1459" w:firstLine="263"/>
        <w:spacing w:after="0" w:line="298" w:lineRule="auto"/>
        <w:tabs>
          <w:tab w:leader="none" w:pos="2538"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52" w:lineRule="exact"/>
        <w:rPr>
          <w:rFonts w:ascii="Times New Roman" w:cs="Times New Roman" w:eastAsia="Times New Roman" w:hAnsi="Times New Roman"/>
          <w:sz w:val="13"/>
          <w:szCs w:val="13"/>
          <w:color w:val="auto"/>
        </w:rPr>
      </w:pPr>
    </w:p>
    <w:p>
      <w:pPr>
        <w:ind w:left="1980" w:right="1459" w:firstLine="263"/>
        <w:spacing w:after="0" w:line="298" w:lineRule="auto"/>
        <w:tabs>
          <w:tab w:leader="none" w:pos="2592"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62" w:lineRule="exact"/>
        <w:rPr>
          <w:rFonts w:ascii="Times New Roman" w:cs="Times New Roman" w:eastAsia="Times New Roman" w:hAnsi="Times New Roman"/>
          <w:sz w:val="13"/>
          <w:szCs w:val="13"/>
          <w:color w:val="auto"/>
        </w:rPr>
      </w:pPr>
    </w:p>
    <w:p>
      <w:pPr>
        <w:jc w:val="both"/>
        <w:ind w:left="1980" w:right="1459" w:firstLine="263"/>
        <w:spacing w:after="0" w:line="278" w:lineRule="auto"/>
        <w:tabs>
          <w:tab w:leader="none" w:pos="2639"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76" w:lineRule="exact"/>
        <w:rPr>
          <w:rFonts w:ascii="Times New Roman" w:cs="Times New Roman" w:eastAsia="Times New Roman" w:hAnsi="Times New Roman"/>
          <w:sz w:val="13"/>
          <w:szCs w:val="13"/>
          <w:color w:val="auto"/>
        </w:rPr>
      </w:pPr>
    </w:p>
    <w:p>
      <w:pPr>
        <w:ind w:left="1980" w:right="1459" w:firstLine="263"/>
        <w:spacing w:after="0" w:line="298" w:lineRule="auto"/>
        <w:tabs>
          <w:tab w:leader="none" w:pos="2629"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52" w:lineRule="exact"/>
        <w:rPr>
          <w:rFonts w:ascii="Times New Roman" w:cs="Times New Roman" w:eastAsia="Times New Roman" w:hAnsi="Times New Roman"/>
          <w:sz w:val="13"/>
          <w:szCs w:val="13"/>
          <w:color w:val="auto"/>
        </w:rPr>
      </w:pPr>
    </w:p>
    <w:p>
      <w:pPr>
        <w:jc w:val="both"/>
        <w:ind w:left="1440" w:right="1459" w:firstLine="264"/>
        <w:spacing w:after="0" w:line="267" w:lineRule="auto"/>
        <w:tabs>
          <w:tab w:leader="none" w:pos="1991"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2" w:lineRule="exact"/>
        <w:rPr>
          <w:rFonts w:ascii="Times New Roman" w:cs="Times New Roman" w:eastAsia="Times New Roman" w:hAnsi="Times New Roman"/>
          <w:sz w:val="13"/>
          <w:szCs w:val="13"/>
          <w:color w:val="auto"/>
        </w:rPr>
      </w:pPr>
    </w:p>
    <w:p>
      <w:pPr>
        <w:jc w:val="both"/>
        <w:ind w:left="1440" w:right="1459" w:firstLine="264"/>
        <w:spacing w:after="0" w:line="263" w:lineRule="auto"/>
        <w:tabs>
          <w:tab w:leader="none" w:pos="204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0" w:name="page51"/>
    <w:bookmarkEnd w:id="50"/>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26"/>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0" w:type="dxa"/>
            <w:vAlign w:val="bottom"/>
            <w:gridSpan w:val="2"/>
          </w:tcPr>
          <w:p>
            <w:pP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8"/>
                <w:szCs w:val="18"/>
                <w:b w:val="1"/>
                <w:bCs w:val="1"/>
                <w:color w:val="auto"/>
                <w:vertAlign w:val="subscript"/>
              </w:rPr>
              <w:t>​ ​</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40" w:type="dxa"/>
            <w:vAlign w:val="bottom"/>
            <w:gridSpan w:val="15"/>
          </w:tcPr>
          <w:p>
            <w:pPr>
              <w:ind w:left="7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9"/>
        </w:trPr>
        <w:tc>
          <w:tcPr>
            <w:tcW w:w="3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 xml:space="preserve"> 1.1*</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Borders>
              <w:top w:val="single" w:sz="8" w:color="auto"/>
            </w:tcBorders>
          </w:tcPr>
          <w:p>
            <w:pPr>
              <w:spacing w:after="0"/>
              <w:rPr>
                <w:sz w:val="14"/>
                <w:szCs w:val="14"/>
                <w:color w:val="auto"/>
              </w:rPr>
            </w:pPr>
          </w:p>
        </w:tc>
        <w:tc>
          <w:tcPr>
            <w:tcW w:w="558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3"/>
                <w:szCs w:val="13"/>
                <w:color w:val="auto"/>
              </w:rPr>
              <w:t>Form of Underwriting Agreement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 4.1</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4"/>
                <w:szCs w:val="14"/>
                <w:color w:val="auto"/>
              </w:rPr>
            </w:pPr>
          </w:p>
        </w:tc>
        <w:tc>
          <w:tcPr>
            <w:tcW w:w="526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rPr>
            </w:pPr>
            <w:hyperlink r:id="rId85">
              <w:r>
                <w:rPr>
                  <w:rFonts w:ascii="Times New Roman" w:cs="Times New Roman" w:eastAsia="Times New Roman" w:hAnsi="Times New Roman"/>
                  <w:sz w:val="13"/>
                  <w:szCs w:val="13"/>
                  <w:color w:val="0000EE"/>
                </w:rPr>
                <w:t>Specimen American Depositary Receipt evidencing American Depositary Shares (included in</w:t>
              </w:r>
            </w:hyperlink>
          </w:p>
        </w:tc>
        <w:tc>
          <w:tcPr>
            <w:tcW w:w="320" w:type="dxa"/>
            <w:vAlign w:val="bottom"/>
            <w:gridSpan w:val="6"/>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4.2</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2"/>
                <w:szCs w:val="12"/>
                <w:color w:val="auto"/>
              </w:rPr>
            </w:pPr>
          </w:p>
        </w:tc>
        <w:tc>
          <w:tcPr>
            <w:tcW w:w="700" w:type="dxa"/>
            <w:vAlign w:val="bottom"/>
            <w:tcBorders>
              <w:bottom w:val="single" w:sz="8" w:color="0000EE"/>
            </w:tcBorders>
            <w:gridSpan w:val="3"/>
          </w:tcPr>
          <w:p>
            <w:pPr>
              <w:spacing w:after="0" w:line="142" w:lineRule="exact"/>
              <w:rPr>
                <w:rFonts w:ascii="Times New Roman" w:cs="Times New Roman" w:eastAsia="Times New Roman" w:hAnsi="Times New Roman"/>
                <w:sz w:val="13"/>
                <w:szCs w:val="13"/>
                <w:color w:val="0000EE"/>
              </w:rPr>
            </w:pPr>
            <w:hyperlink r:id="rId85">
              <w:r>
                <w:rPr>
                  <w:rFonts w:ascii="Times New Roman" w:cs="Times New Roman" w:eastAsia="Times New Roman" w:hAnsi="Times New Roman"/>
                  <w:sz w:val="13"/>
                  <w:szCs w:val="13"/>
                  <w:color w:val="0000EE"/>
                </w:rPr>
                <w:t>Exhibit 4.3).</w:t>
              </w:r>
            </w:hyperlink>
          </w:p>
        </w:tc>
        <w:tc>
          <w:tcPr>
            <w:tcW w:w="4880" w:type="dxa"/>
            <w:vAlign w:val="bottom"/>
            <w:gridSpan w:val="17"/>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2"/>
        </w:trPr>
        <w:tc>
          <w:tcPr>
            <w:tcW w:w="3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bottom w:val="single" w:sz="8" w:color="0000EE"/>
            </w:tcBorders>
            <w:gridSpan w:val="17"/>
          </w:tcPr>
          <w:p>
            <w:pPr>
              <w:spacing w:after="0"/>
              <w:rPr>
                <w:rFonts w:ascii="Times New Roman" w:cs="Times New Roman" w:eastAsia="Times New Roman" w:hAnsi="Times New Roman"/>
                <w:sz w:val="13"/>
                <w:szCs w:val="13"/>
                <w:color w:val="0000EE"/>
              </w:rPr>
            </w:pPr>
            <w:hyperlink r:id="rId86">
              <w:r>
                <w:rPr>
                  <w:rFonts w:ascii="Times New Roman" w:cs="Times New Roman" w:eastAsia="Times New Roman" w:hAnsi="Times New Roman"/>
                  <w:sz w:val="13"/>
                  <w:szCs w:val="13"/>
                  <w:color w:val="0000EE"/>
                </w:rPr>
                <w:t>Registrant’s Specimen of Ordinary Share Certificate (incorporated by reference to Exhibit 4.1 to</w:t>
              </w:r>
            </w:hyperlink>
          </w:p>
        </w:tc>
        <w:tc>
          <w:tcPr>
            <w:tcW w:w="160" w:type="dxa"/>
            <w:vAlign w:val="bottom"/>
            <w:gridSpan w:val="3"/>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tcBorders>
              <w:bottom w:val="single" w:sz="8" w:color="0000EE"/>
            </w:tcBorders>
            <w:gridSpan w:val="18"/>
          </w:tcPr>
          <w:p>
            <w:pPr>
              <w:spacing w:after="0" w:line="142" w:lineRule="exact"/>
              <w:rPr>
                <w:rFonts w:ascii="Times New Roman" w:cs="Times New Roman" w:eastAsia="Times New Roman" w:hAnsi="Times New Roman"/>
                <w:sz w:val="13"/>
                <w:szCs w:val="13"/>
                <w:color w:val="0000EE"/>
              </w:rPr>
            </w:pPr>
            <w:hyperlink r:id="rId86">
              <w:r>
                <w:rPr>
                  <w:rFonts w:ascii="Times New Roman" w:cs="Times New Roman" w:eastAsia="Times New Roman" w:hAnsi="Times New Roman"/>
                  <w:sz w:val="13"/>
                  <w:szCs w:val="13"/>
                  <w:color w:val="0000EE"/>
                </w:rPr>
                <w:t>the registration statement on Form F-1 (File No. 333-234356), as amended, initially filed with the</w:t>
              </w:r>
            </w:hyperlink>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4.3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2"/>
                <w:szCs w:val="12"/>
                <w:color w:val="auto"/>
              </w:rPr>
            </w:pPr>
          </w:p>
        </w:tc>
        <w:tc>
          <w:tcPr>
            <w:tcW w:w="5580" w:type="dxa"/>
            <w:vAlign w:val="bottom"/>
            <w:gridSpan w:val="20"/>
          </w:tcPr>
          <w:p>
            <w:pPr>
              <w:spacing w:after="0" w:line="142" w:lineRule="exact"/>
              <w:rPr>
                <w:rFonts w:ascii="Times New Roman" w:cs="Times New Roman" w:eastAsia="Times New Roman" w:hAnsi="Times New Roman"/>
                <w:sz w:val="13"/>
                <w:szCs w:val="13"/>
                <w:color w:val="0000EE"/>
              </w:rPr>
            </w:pPr>
            <w:hyperlink r:id="rId86">
              <w:r>
                <w:rPr>
                  <w:rFonts w:ascii="Times New Roman" w:cs="Times New Roman" w:eastAsia="Times New Roman" w:hAnsi="Times New Roman"/>
                  <w:sz w:val="13"/>
                  <w:szCs w:val="13"/>
                  <w:color w:val="0000EE"/>
                </w:rPr>
                <w:t>Securities and Exchange Commission on October 28, 2019)</w:t>
              </w:r>
            </w:hyperlink>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rPr>
            </w:pPr>
            <w:hyperlink r:id="rId87">
              <w:r>
                <w:rPr>
                  <w:rFonts w:ascii="Times New Roman" w:cs="Times New Roman" w:eastAsia="Times New Roman" w:hAnsi="Times New Roman"/>
                  <w:sz w:val="13"/>
                  <w:szCs w:val="13"/>
                  <w:color w:val="0000EE"/>
                </w:rPr>
                <w:t>Form of Deposit Agreement by and among the Registrant, the depositary and the owners and</w:t>
              </w:r>
            </w:hyperlink>
          </w:p>
        </w:tc>
        <w:tc>
          <w:tcPr>
            <w:tcW w:w="360" w:type="dxa"/>
            <w:vAlign w:val="bottom"/>
            <w:gridSpan w:val="7"/>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0"/>
          </w:tcPr>
          <w:p>
            <w:pPr>
              <w:spacing w:after="0" w:line="142" w:lineRule="exact"/>
              <w:rPr>
                <w:rFonts w:ascii="Times New Roman" w:cs="Times New Roman" w:eastAsia="Times New Roman" w:hAnsi="Times New Roman"/>
                <w:sz w:val="13"/>
                <w:szCs w:val="13"/>
                <w:color w:val="0000EE"/>
              </w:rPr>
            </w:pPr>
            <w:hyperlink r:id="rId87">
              <w:r>
                <w:rPr>
                  <w:rFonts w:ascii="Times New Roman" w:cs="Times New Roman" w:eastAsia="Times New Roman" w:hAnsi="Times New Roman"/>
                  <w:sz w:val="13"/>
                  <w:szCs w:val="13"/>
                  <w:color w:val="0000EE"/>
                </w:rPr>
                <w:t>holders of the American Depositary Receipts issued thereunder (incorporated by reference to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EE"/>
              <w:bottom w:val="single" w:sz="8" w:color="0000EE"/>
            </w:tcBorders>
            <w:gridSpan w:val="12"/>
          </w:tcPr>
          <w:p>
            <w:pPr>
              <w:spacing w:after="0" w:line="142" w:lineRule="exact"/>
              <w:rPr>
                <w:rFonts w:ascii="Times New Roman" w:cs="Times New Roman" w:eastAsia="Times New Roman" w:hAnsi="Times New Roman"/>
                <w:sz w:val="13"/>
                <w:szCs w:val="13"/>
                <w:color w:val="0000EE"/>
              </w:rPr>
            </w:pPr>
            <w:hyperlink r:id="rId87">
              <w:r>
                <w:rPr>
                  <w:rFonts w:ascii="Times New Roman" w:cs="Times New Roman" w:eastAsia="Times New Roman" w:hAnsi="Times New Roman"/>
                  <w:sz w:val="13"/>
                  <w:szCs w:val="13"/>
                  <w:color w:val="0000EE"/>
                </w:rPr>
                <w:t>Exhibit 1 to the registration statement on Form F-6 (File No. 333-283941), filed with the</w:t>
              </w:r>
            </w:hyperlink>
          </w:p>
        </w:tc>
        <w:tc>
          <w:tcPr>
            <w:tcW w:w="220" w:type="dxa"/>
            <w:vAlign w:val="bottom"/>
            <w:tcBorders>
              <w:top w:val="single" w:sz="8" w:color="0000EE"/>
            </w:tcBorders>
          </w:tcPr>
          <w:p>
            <w:pPr>
              <w:spacing w:after="0"/>
              <w:rPr>
                <w:sz w:val="12"/>
                <w:szCs w:val="12"/>
                <w:color w:val="auto"/>
              </w:rPr>
            </w:pPr>
          </w:p>
        </w:tc>
        <w:tc>
          <w:tcPr>
            <w:tcW w:w="36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bottom w:val="single" w:sz="8" w:color="0000EE"/>
            </w:tcBorders>
            <w:gridSpan w:val="8"/>
          </w:tcPr>
          <w:p>
            <w:pPr>
              <w:spacing w:after="0" w:line="142" w:lineRule="exact"/>
              <w:rPr>
                <w:rFonts w:ascii="Times New Roman" w:cs="Times New Roman" w:eastAsia="Times New Roman" w:hAnsi="Times New Roman"/>
                <w:sz w:val="13"/>
                <w:szCs w:val="13"/>
                <w:color w:val="0000EE"/>
              </w:rPr>
            </w:pPr>
            <w:hyperlink r:id="rId87">
              <w:r>
                <w:rPr>
                  <w:rFonts w:ascii="Times New Roman" w:cs="Times New Roman" w:eastAsia="Times New Roman" w:hAnsi="Times New Roman"/>
                  <w:sz w:val="13"/>
                  <w:szCs w:val="13"/>
                  <w:color w:val="0000EE"/>
                </w:rPr>
                <w:t>Securities and Exchange Commission on December 19, 2024)</w:t>
              </w:r>
            </w:hyperlink>
          </w:p>
        </w:tc>
        <w:tc>
          <w:tcPr>
            <w:tcW w:w="210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4.4*</w:t>
            </w:r>
          </w:p>
        </w:tc>
        <w:tc>
          <w:tcPr>
            <w:tcW w:w="5760" w:type="dxa"/>
            <w:vAlign w:val="bottom"/>
            <w:gridSpan w:val="22"/>
          </w:tcPr>
          <w:p>
            <w:pPr>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Certificate of Designation for Preferred Shares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2"/>
        </w:trPr>
        <w:tc>
          <w:tcPr>
            <w:tcW w:w="380" w:type="dxa"/>
            <w:vAlign w:val="bottom"/>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4.5*</w:t>
            </w:r>
          </w:p>
        </w:tc>
        <w:tc>
          <w:tcPr>
            <w:tcW w:w="5760" w:type="dxa"/>
            <w:vAlign w:val="bottom"/>
            <w:gridSpan w:val="2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Registrant’s Specimen of Warrant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2"/>
        </w:trPr>
        <w:tc>
          <w:tcPr>
            <w:tcW w:w="380" w:type="dxa"/>
            <w:vAlign w:val="bottom"/>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4.6*</w:t>
            </w:r>
          </w:p>
        </w:tc>
        <w:tc>
          <w:tcPr>
            <w:tcW w:w="5760" w:type="dxa"/>
            <w:vAlign w:val="bottom"/>
            <w:gridSpan w:val="2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Warrant Agreement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2"/>
        </w:trPr>
        <w:tc>
          <w:tcPr>
            <w:tcW w:w="380" w:type="dxa"/>
            <w:vAlign w:val="bottom"/>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4.7*</w:t>
            </w:r>
          </w:p>
        </w:tc>
        <w:tc>
          <w:tcPr>
            <w:tcW w:w="5760" w:type="dxa"/>
            <w:vAlign w:val="bottom"/>
            <w:gridSpan w:val="2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Indenture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2"/>
        </w:trPr>
        <w:tc>
          <w:tcPr>
            <w:tcW w:w="380" w:type="dxa"/>
            <w:vAlign w:val="bottom"/>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4.8*</w:t>
            </w:r>
          </w:p>
        </w:tc>
        <w:tc>
          <w:tcPr>
            <w:tcW w:w="5760" w:type="dxa"/>
            <w:vAlign w:val="bottom"/>
            <w:gridSpan w:val="2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Debt Security</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2"/>
        </w:trPr>
        <w:tc>
          <w:tcPr>
            <w:tcW w:w="380" w:type="dxa"/>
            <w:vAlign w:val="bottom"/>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4.9*</w:t>
            </w:r>
          </w:p>
        </w:tc>
        <w:tc>
          <w:tcPr>
            <w:tcW w:w="5760" w:type="dxa"/>
            <w:vAlign w:val="bottom"/>
            <w:gridSpan w:val="2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Subscription Rights Agreement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2"/>
        </w:trPr>
        <w:tc>
          <w:tcPr>
            <w:tcW w:w="380" w:type="dxa"/>
            <w:vAlign w:val="bottom"/>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4.10*</w:t>
            </w:r>
          </w:p>
        </w:tc>
        <w:tc>
          <w:tcPr>
            <w:tcW w:w="5760" w:type="dxa"/>
            <w:vAlign w:val="bottom"/>
            <w:gridSpan w:val="22"/>
          </w:tcPr>
          <w:p>
            <w:pPr>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Form of Subscription Rights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12"/>
        </w:trPr>
        <w:tc>
          <w:tcPr>
            <w:tcW w:w="38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4.11*</w:t>
            </w:r>
          </w:p>
        </w:tc>
        <w:tc>
          <w:tcPr>
            <w:tcW w:w="5760" w:type="dxa"/>
            <w:vAlign w:val="bottom"/>
            <w:gridSpan w:val="22"/>
          </w:tcPr>
          <w:p>
            <w:pPr>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Specimen Unit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4"/>
        </w:trPr>
        <w:tc>
          <w:tcPr>
            <w:tcW w:w="6140" w:type="dxa"/>
            <w:vAlign w:val="bottom"/>
            <w:gridSpan w:val="23"/>
          </w:tcPr>
          <w:p>
            <w:pPr>
              <w:spacing w:after="0"/>
              <w:rPr>
                <w:sz w:val="20"/>
                <w:szCs w:val="20"/>
                <w:color w:val="auto"/>
              </w:rPr>
            </w:pPr>
            <w:r>
              <w:rPr>
                <w:rFonts w:ascii="Times New Roman" w:cs="Times New Roman" w:eastAsia="Times New Roman" w:hAnsi="Times New Roman"/>
                <w:sz w:val="13"/>
                <w:szCs w:val="13"/>
                <w:color w:val="auto"/>
              </w:rPr>
              <w:t xml:space="preserve">​ 5.1**​ ​ </w:t>
            </w:r>
            <w:r>
              <w:rPr>
                <w:rFonts w:ascii="Times New Roman" w:cs="Times New Roman" w:eastAsia="Times New Roman" w:hAnsi="Times New Roman"/>
                <w:sz w:val="13"/>
                <w:szCs w:val="13"/>
                <w:color w:val="0000EE"/>
              </w:rPr>
              <w:t>Opinion of Maples and Calder (Hong Kong) LLP regarding the validity of the securities being</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EE"/>
              </w:rPr>
              <w:t>registered.</w:t>
            </w:r>
          </w:p>
        </w:tc>
        <w:tc>
          <w:tcPr>
            <w:tcW w:w="4720" w:type="dxa"/>
            <w:vAlign w:val="bottom"/>
            <w:tcBorders>
              <w:top w:val="single" w:sz="8" w:color="0000EE"/>
            </w:tcBorders>
            <w:gridSpan w:val="13"/>
          </w:tcPr>
          <w:p>
            <w:pPr>
              <w:spacing w:after="0"/>
              <w:rPr>
                <w:sz w:val="12"/>
                <w:szCs w:val="12"/>
                <w:color w:val="auto"/>
              </w:rPr>
            </w:pPr>
          </w:p>
        </w:tc>
        <w:tc>
          <w:tcPr>
            <w:tcW w:w="2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40" w:type="dxa"/>
            <w:vAlign w:val="bottom"/>
            <w:gridSpan w:val="23"/>
          </w:tcPr>
          <w:p>
            <w:pPr>
              <w:spacing w:after="0"/>
              <w:rPr>
                <w:sz w:val="20"/>
                <w:szCs w:val="20"/>
                <w:color w:val="auto"/>
              </w:rPr>
            </w:pPr>
            <w:r>
              <w:rPr>
                <w:rFonts w:ascii="Times New Roman" w:cs="Times New Roman" w:eastAsia="Times New Roman" w:hAnsi="Times New Roman"/>
                <w:sz w:val="13"/>
                <w:szCs w:val="13"/>
                <w:color w:val="auto"/>
              </w:rPr>
              <w:t xml:space="preserve">​ 8.1**​ ​ </w:t>
            </w:r>
            <w:r>
              <w:rPr>
                <w:rFonts w:ascii="Times New Roman" w:cs="Times New Roman" w:eastAsia="Times New Roman" w:hAnsi="Times New Roman"/>
                <w:sz w:val="13"/>
                <w:szCs w:val="13"/>
                <w:color w:val="0000EE"/>
              </w:rPr>
              <w:t>Opinion of Maples and Calder (Hong Kong) LLP regarding certain Cayman Islands tax matters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top w:val="single" w:sz="8" w:color="0000EE"/>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(included in Exhibit 5.1)</w:t>
            </w:r>
          </w:p>
        </w:tc>
        <w:tc>
          <w:tcPr>
            <w:tcW w:w="4020" w:type="dxa"/>
            <w:vAlign w:val="bottom"/>
            <w:tcBorders>
              <w:top w:val="single" w:sz="8" w:color="0000EE"/>
            </w:tcBorders>
            <w:gridSpan w:val="12"/>
          </w:tcPr>
          <w:p>
            <w:pPr>
              <w:spacing w:after="0"/>
              <w:rPr>
                <w:sz w:val="12"/>
                <w:szCs w:val="12"/>
                <w:color w:val="auto"/>
              </w:rPr>
            </w:pPr>
          </w:p>
        </w:tc>
        <w:tc>
          <w:tcPr>
            <w:tcW w:w="1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40" w:type="dxa"/>
            <w:vAlign w:val="bottom"/>
            <w:gridSpan w:val="23"/>
          </w:tcPr>
          <w:p>
            <w:pPr>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8.2**</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Opinion of Commerce &amp; Finance Law Offices regarding certain PRC law matters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31"/>
        </w:trPr>
        <w:tc>
          <w:tcPr>
            <w:tcW w:w="3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40" w:type="dxa"/>
            <w:vAlign w:val="bottom"/>
            <w:gridSpan w:val="11"/>
            <w:vMerge w:val="restart"/>
          </w:tcPr>
          <w:p>
            <w:pPr>
              <w:spacing w:after="0"/>
              <w:rPr>
                <w:sz w:val="20"/>
                <w:szCs w:val="20"/>
                <w:color w:val="auto"/>
              </w:rPr>
            </w:pPr>
            <w:r>
              <w:rPr>
                <w:rFonts w:ascii="Times New Roman" w:cs="Times New Roman" w:eastAsia="Times New Roman" w:hAnsi="Times New Roman"/>
                <w:sz w:val="13"/>
                <w:szCs w:val="13"/>
                <w:color w:val="0000EE"/>
              </w:rPr>
              <w:t>Consent of KPMG Huazhen LLP, Independent Registered Public Accounting Firm</w:t>
            </w:r>
          </w:p>
        </w:tc>
        <w:tc>
          <w:tcPr>
            <w:tcW w:w="940" w:type="dxa"/>
            <w:vAlign w:val="bottom"/>
            <w:gridSpan w:val="9"/>
            <w:vMerge w:val="restart"/>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380" w:type="dxa"/>
            <w:vAlign w:val="bottom"/>
          </w:tcPr>
          <w:p>
            <w:pPr>
              <w:spacing w:after="0"/>
              <w:rPr>
                <w:sz w:val="20"/>
                <w:szCs w:val="20"/>
                <w:color w:val="auto"/>
              </w:rPr>
            </w:pPr>
            <w:r>
              <w:rPr>
                <w:rFonts w:ascii="Times New Roman" w:cs="Times New Roman" w:eastAsia="Times New Roman" w:hAnsi="Times New Roman"/>
                <w:sz w:val="4"/>
                <w:szCs w:val="4"/>
                <w:color w:val="auto"/>
              </w:rPr>
              <w:t>23.1**</w:t>
            </w: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40" w:type="dxa"/>
            <w:vAlign w:val="bottom"/>
            <w:tcBorders>
              <w:bottom w:val="single" w:sz="8" w:color="0000EE"/>
            </w:tcBorders>
            <w:gridSpan w:val="11"/>
            <w:vMerge w:val="continue"/>
          </w:tcPr>
          <w:p>
            <w:pPr>
              <w:spacing w:after="0"/>
              <w:rPr>
                <w:sz w:val="4"/>
                <w:szCs w:val="4"/>
                <w:color w:val="auto"/>
              </w:rPr>
            </w:pPr>
          </w:p>
        </w:tc>
        <w:tc>
          <w:tcPr>
            <w:tcW w:w="940" w:type="dxa"/>
            <w:vAlign w:val="bottom"/>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580" w:type="dxa"/>
            <w:vAlign w:val="bottom"/>
            <w:gridSpan w:val="20"/>
            <w:vMerge w:val="restart"/>
          </w:tcPr>
          <w:p>
            <w:pPr>
              <w:spacing w:after="0"/>
              <w:rPr>
                <w:sz w:val="20"/>
                <w:szCs w:val="20"/>
                <w:color w:val="auto"/>
              </w:rPr>
            </w:pPr>
            <w:r>
              <w:rPr>
                <w:rFonts w:ascii="Times New Roman" w:cs="Times New Roman" w:eastAsia="Times New Roman" w:hAnsi="Times New Roman"/>
                <w:sz w:val="13"/>
                <w:szCs w:val="13"/>
                <w:color w:val="0000EE"/>
              </w:rPr>
              <w:t>Consent of Maples and Calder (Hong Kong) LLP (included in Exhibit 5.1)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0"/>
        </w:trPr>
        <w:tc>
          <w:tcPr>
            <w:tcW w:w="380" w:type="dxa"/>
            <w:vAlign w:val="bottom"/>
          </w:tcPr>
          <w:p>
            <w:pPr>
              <w:spacing w:after="0"/>
              <w:rPr>
                <w:sz w:val="20"/>
                <w:szCs w:val="20"/>
                <w:color w:val="auto"/>
              </w:rPr>
            </w:pPr>
            <w:r>
              <w:rPr>
                <w:rFonts w:ascii="Times New Roman" w:cs="Times New Roman" w:eastAsia="Times New Roman" w:hAnsi="Times New Roman"/>
                <w:sz w:val="4"/>
                <w:szCs w:val="4"/>
                <w:color w:val="auto"/>
              </w:rPr>
              <w:t>23.2**</w:t>
            </w: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580" w:type="dxa"/>
            <w:vAlign w:val="bottom"/>
            <w:gridSpan w:val="20"/>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2600" w:type="dxa"/>
            <w:vAlign w:val="bottom"/>
            <w:tcBorders>
              <w:top w:val="single" w:sz="8" w:color="0000EE"/>
            </w:tcBorders>
            <w:gridSpan w:val="6"/>
            <w:vMerge w:val="restart"/>
          </w:tcPr>
          <w:p>
            <w:pPr>
              <w:spacing w:after="0"/>
              <w:rPr>
                <w:sz w:val="20"/>
                <w:szCs w:val="20"/>
                <w:color w:val="auto"/>
              </w:rPr>
            </w:pPr>
            <w:r>
              <w:rPr>
                <w:rFonts w:ascii="Times New Roman" w:cs="Times New Roman" w:eastAsia="Times New Roman" w:hAnsi="Times New Roman"/>
                <w:sz w:val="13"/>
                <w:szCs w:val="13"/>
                <w:color w:val="0000EE"/>
              </w:rPr>
              <w:t>Consent of Commerce &amp; Finance Law Offices</w:t>
            </w:r>
          </w:p>
        </w:tc>
        <w:tc>
          <w:tcPr>
            <w:tcW w:w="1580" w:type="dxa"/>
            <w:vAlign w:val="bottom"/>
            <w:tcBorders>
              <w:top w:val="single" w:sz="8" w:color="0000EE"/>
            </w:tcBorders>
            <w:gridSpan w:val="3"/>
            <w:vMerge w:val="restart"/>
          </w:tcPr>
          <w:p>
            <w:pPr>
              <w:spacing w:after="0"/>
              <w:rPr>
                <w:sz w:val="11"/>
                <w:szCs w:val="11"/>
                <w:color w:val="auto"/>
              </w:rPr>
            </w:pPr>
          </w:p>
        </w:tc>
        <w:tc>
          <w:tcPr>
            <w:tcW w:w="1400" w:type="dxa"/>
            <w:vAlign w:val="bottom"/>
            <w:gridSpan w:val="11"/>
            <w:vMerge w:val="restart"/>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5"/>
        </w:trPr>
        <w:tc>
          <w:tcPr>
            <w:tcW w:w="380" w:type="dxa"/>
            <w:vAlign w:val="bottom"/>
          </w:tcPr>
          <w:p>
            <w:pPr>
              <w:spacing w:after="0"/>
              <w:rPr>
                <w:sz w:val="20"/>
                <w:szCs w:val="20"/>
                <w:color w:val="auto"/>
              </w:rPr>
            </w:pPr>
            <w:r>
              <w:rPr>
                <w:rFonts w:ascii="Times New Roman" w:cs="Times New Roman" w:eastAsia="Times New Roman" w:hAnsi="Times New Roman"/>
                <w:sz w:val="4"/>
                <w:szCs w:val="4"/>
                <w:color w:val="auto"/>
              </w:rPr>
              <w:t>23.3**</w:t>
            </w: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0" w:type="dxa"/>
            <w:vAlign w:val="bottom"/>
            <w:tcBorders>
              <w:bottom w:val="single" w:sz="8" w:color="0000EE"/>
            </w:tcBorders>
            <w:gridSpan w:val="6"/>
            <w:vMerge w:val="continue"/>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1400" w:type="dxa"/>
            <w:vAlign w:val="bottom"/>
            <w:gridSpan w:val="11"/>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2"/>
                <w:szCs w:val="12"/>
                <w:color w:val="auto"/>
              </w:rPr>
            </w:pPr>
          </w:p>
        </w:tc>
        <w:tc>
          <w:tcPr>
            <w:tcW w:w="5540" w:type="dxa"/>
            <w:vAlign w:val="bottom"/>
            <w:gridSpan w:val="19"/>
            <w:vMerge w:val="restart"/>
          </w:tcPr>
          <w:p>
            <w:pPr>
              <w:spacing w:after="0"/>
              <w:rPr>
                <w:rFonts w:ascii="Times New Roman" w:cs="Times New Roman" w:eastAsia="Times New Roman" w:hAnsi="Times New Roman"/>
                <w:sz w:val="13"/>
                <w:szCs w:val="13"/>
                <w:color w:val="0000EE"/>
              </w:rPr>
            </w:pPr>
            <w:hyperlink r:id="rId88">
              <w:r>
                <w:rPr>
                  <w:rFonts w:ascii="Times New Roman" w:cs="Times New Roman" w:eastAsia="Times New Roman" w:hAnsi="Times New Roman"/>
                  <w:sz w:val="13"/>
                  <w:szCs w:val="13"/>
                  <w:color w:val="0000EE"/>
                </w:rPr>
                <w:t>Power of attorney (incorporated by reference to Exhibit 24.1 to the registration statement on Form</w:t>
              </w:r>
            </w:hyperlink>
          </w:p>
        </w:tc>
        <w:tc>
          <w:tcPr>
            <w:tcW w:w="40" w:type="dxa"/>
            <w:vAlign w:val="bottom"/>
            <w:vMerge w:val="restart"/>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5"/>
        </w:trPr>
        <w:tc>
          <w:tcPr>
            <w:tcW w:w="38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24.1</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540" w:type="dxa"/>
            <w:vAlign w:val="bottom"/>
            <w:tcBorders>
              <w:bottom w:val="single" w:sz="8" w:color="0000EE"/>
            </w:tcBorders>
            <w:gridSpan w:val="19"/>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0"/>
          </w:tcPr>
          <w:p>
            <w:pPr>
              <w:spacing w:after="0" w:line="142" w:lineRule="exact"/>
              <w:rPr>
                <w:rFonts w:ascii="Times New Roman" w:cs="Times New Roman" w:eastAsia="Times New Roman" w:hAnsi="Times New Roman"/>
                <w:sz w:val="13"/>
                <w:szCs w:val="13"/>
                <w:color w:val="0000EE"/>
              </w:rPr>
            </w:pPr>
            <w:hyperlink r:id="rId88">
              <w:r>
                <w:rPr>
                  <w:rFonts w:ascii="Times New Roman" w:cs="Times New Roman" w:eastAsia="Times New Roman" w:hAnsi="Times New Roman"/>
                  <w:sz w:val="13"/>
                  <w:szCs w:val="13"/>
                  <w:color w:val="0000EE"/>
                </w:rPr>
                <w:t>F-3 (File No. 333-285125), filed with the Securities and Exchange Commission on February 21,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spacing w:after="0" w:line="142" w:lineRule="exact"/>
              <w:rPr>
                <w:rFonts w:ascii="Times New Roman" w:cs="Times New Roman" w:eastAsia="Times New Roman" w:hAnsi="Times New Roman"/>
                <w:sz w:val="13"/>
                <w:szCs w:val="13"/>
                <w:color w:val="0000EE"/>
                <w:w w:val="98"/>
              </w:rPr>
            </w:pPr>
            <w:hyperlink r:id="rId88">
              <w:r>
                <w:rPr>
                  <w:rFonts w:ascii="Times New Roman" w:cs="Times New Roman" w:eastAsia="Times New Roman" w:hAnsi="Times New Roman"/>
                  <w:sz w:val="13"/>
                  <w:szCs w:val="13"/>
                  <w:color w:val="0000EE"/>
                  <w:w w:val="98"/>
                </w:rPr>
                <w:t>2025)</w:t>
              </w:r>
            </w:hyperlink>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52"/>
        </w:trPr>
        <w:tc>
          <w:tcPr>
            <w:tcW w:w="3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gridSpan w:val="20"/>
            <w:vMerge w:val="restart"/>
          </w:tcPr>
          <w:p>
            <w:pPr>
              <w:spacing w:after="0"/>
              <w:rPr>
                <w:sz w:val="20"/>
                <w:szCs w:val="20"/>
                <w:color w:val="auto"/>
              </w:rPr>
            </w:pPr>
            <w:r>
              <w:rPr>
                <w:rFonts w:ascii="Times New Roman" w:cs="Times New Roman" w:eastAsia="Times New Roman" w:hAnsi="Times New Roman"/>
                <w:sz w:val="13"/>
                <w:szCs w:val="13"/>
                <w:color w:val="auto"/>
              </w:rPr>
              <w:t>Statement of Eligibility of Trustee under the Indenture (to be filed separately under the electronic</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80" w:type="dxa"/>
            <w:vAlign w:val="bottom"/>
          </w:tcPr>
          <w:p>
            <w:pPr>
              <w:spacing w:after="0"/>
              <w:rPr>
                <w:sz w:val="20"/>
                <w:szCs w:val="20"/>
                <w:color w:val="auto"/>
              </w:rPr>
            </w:pPr>
            <w:r>
              <w:rPr>
                <w:rFonts w:ascii="Times New Roman" w:cs="Times New Roman" w:eastAsia="Times New Roman" w:hAnsi="Times New Roman"/>
                <w:sz w:val="4"/>
                <w:szCs w:val="4"/>
                <w:color w:val="auto"/>
              </w:rPr>
              <w:t>25.1</w:t>
            </w: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580" w:type="dxa"/>
            <w:vAlign w:val="bottom"/>
            <w:gridSpan w:val="20"/>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gridSpan w:val="20"/>
          </w:tcPr>
          <w:p>
            <w:pPr>
              <w:spacing w:after="0"/>
              <w:rPr>
                <w:sz w:val="20"/>
                <w:szCs w:val="20"/>
                <w:color w:val="auto"/>
              </w:rPr>
            </w:pPr>
            <w:r>
              <w:rPr>
                <w:rFonts w:ascii="Times New Roman" w:cs="Times New Roman" w:eastAsia="Times New Roman" w:hAnsi="Times New Roman"/>
                <w:sz w:val="13"/>
                <w:szCs w:val="13"/>
                <w:color w:val="auto"/>
              </w:rPr>
              <w:t>form type 305B2, if applicable in accordance with the requirements of Section 305(b)(2) of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5"/>
                <w:szCs w:val="15"/>
                <w:color w:val="auto"/>
              </w:rPr>
            </w:pPr>
          </w:p>
        </w:tc>
        <w:tc>
          <w:tcPr>
            <w:tcW w:w="5580" w:type="dxa"/>
            <w:vAlign w:val="bottom"/>
            <w:gridSpan w:val="20"/>
          </w:tcPr>
          <w:p>
            <w:pPr>
              <w:spacing w:after="0"/>
              <w:rPr>
                <w:sz w:val="20"/>
                <w:szCs w:val="20"/>
                <w:color w:val="auto"/>
              </w:rPr>
            </w:pPr>
            <w:r>
              <w:rPr>
                <w:rFonts w:ascii="Times New Roman" w:cs="Times New Roman" w:eastAsia="Times New Roman" w:hAnsi="Times New Roman"/>
                <w:sz w:val="13"/>
                <w:szCs w:val="13"/>
                <w:color w:val="auto"/>
              </w:rPr>
              <w:t>Trust Indenture Act and the applicable rules thereunder)</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2"/>
        </w:trPr>
        <w:tc>
          <w:tcPr>
            <w:tcW w:w="3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gridSpan w:val="20"/>
            <w:vMerge w:val="restart"/>
          </w:tcPr>
          <w:p>
            <w:pPr>
              <w:spacing w:after="0"/>
              <w:rPr>
                <w:sz w:val="20"/>
                <w:szCs w:val="20"/>
                <w:color w:val="auto"/>
              </w:rPr>
            </w:pPr>
            <w:r>
              <w:rPr>
                <w:rFonts w:ascii="Times New Roman" w:cs="Times New Roman" w:eastAsia="Times New Roman" w:hAnsi="Times New Roman"/>
                <w:sz w:val="13"/>
                <w:szCs w:val="13"/>
                <w:color w:val="0000EE"/>
              </w:rPr>
              <w:t>Calculation of Filing Fee Table</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380" w:type="dxa"/>
            <w:vAlign w:val="bottom"/>
          </w:tcPr>
          <w:p>
            <w:pPr>
              <w:spacing w:after="0"/>
              <w:rPr>
                <w:sz w:val="20"/>
                <w:szCs w:val="20"/>
                <w:color w:val="auto"/>
              </w:rPr>
            </w:pPr>
            <w:r>
              <w:rPr>
                <w:rFonts w:ascii="Times New Roman" w:cs="Times New Roman" w:eastAsia="Times New Roman" w:hAnsi="Times New Roman"/>
                <w:sz w:val="4"/>
                <w:szCs w:val="4"/>
                <w:color w:val="auto"/>
              </w:rPr>
              <w:t>107**</w:t>
            </w: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580" w:type="dxa"/>
            <w:vAlign w:val="bottom"/>
            <w:gridSpan w:val="20"/>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102870</wp:posOffset>
            </wp:positionV>
            <wp:extent cx="92329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923290" cy="6350"/>
                    </a:xfrm>
                    <a:prstGeom prst="rect">
                      <a:avLst/>
                    </a:prstGeom>
                    <a:noFill/>
                  </pic:spPr>
                </pic:pic>
              </a:graphicData>
            </a:graphic>
          </wp:anchor>
        </w:drawing>
      </w:r>
    </w:p>
    <w:p>
      <w:pPr>
        <w:spacing w:after="0" w:line="256" w:lineRule="exact"/>
        <w:rPr>
          <w:sz w:val="20"/>
          <w:szCs w:val="20"/>
          <w:color w:val="auto"/>
        </w:rPr>
      </w:pPr>
    </w:p>
    <w:p>
      <w:pPr>
        <w:ind w:left="1700" w:right="1459" w:hanging="265"/>
        <w:spacing w:after="0" w:line="274" w:lineRule="auto"/>
        <w:tabs>
          <w:tab w:leader="none" w:pos="170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as an exhibit to a post-effective amendment to this registration statement or as an exhibit to a report filed or furnished under the Exchange Act and incorporated by reference.</w:t>
      </w:r>
    </w:p>
    <w:p>
      <w:pPr>
        <w:spacing w:after="0" w:line="34" w:lineRule="exact"/>
        <w:rPr>
          <w:sz w:val="20"/>
          <w:szCs w:val="20"/>
          <w:color w:val="auto"/>
        </w:rPr>
      </w:pPr>
    </w:p>
    <w:p>
      <w:pPr>
        <w:ind w:left="1700" w:hanging="265"/>
        <w:spacing w:after="0"/>
        <w:tabs>
          <w:tab w:leader="none" w:pos="170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with this Post Effective Amendment No. 1 to the Registration Statement on Form 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1" w:name="page52"/>
    <w:bookmarkEnd w:id="51"/>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7" w:lineRule="exact"/>
        <w:rPr>
          <w:sz w:val="20"/>
          <w:szCs w:val="20"/>
          <w:color w:val="auto"/>
        </w:rPr>
      </w:pPr>
    </w:p>
    <w:p>
      <w:pPr>
        <w:jc w:val="both"/>
        <w:ind w:left="1440" w:right="1459" w:firstLine="269"/>
        <w:spacing w:after="0" w:line="272" w:lineRule="auto"/>
        <w:rPr>
          <w:sz w:val="20"/>
          <w:szCs w:val="20"/>
          <w:color w:val="auto"/>
        </w:rPr>
      </w:pPr>
      <w:r>
        <w:rPr>
          <w:rFonts w:ascii="Times New Roman" w:cs="Times New Roman" w:eastAsia="Times New Roman" w:hAnsi="Times New Roman"/>
          <w:sz w:val="13"/>
          <w:szCs w:val="13"/>
          <w:color w:val="auto"/>
        </w:rPr>
        <w:t>Pursuant to the requirements of the Securities Act, the registrant certifies that it has reasonable grounds to believe that it meets all of the requirements for filing on Form F-3 and has duly caused this Post-Effective Amendment No. 1 to be signed on its behalf by the undersigned, thereunto duly authorized, in Singapore, on April 15, 2026.</w:t>
      </w:r>
    </w:p>
    <w:p>
      <w:pPr>
        <w:spacing w:after="0" w:line="1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CANAAN INC.</w:t>
      </w:r>
    </w:p>
    <w:p>
      <w:pPr>
        <w:spacing w:after="0" w:line="2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41275</wp:posOffset>
            </wp:positionV>
            <wp:extent cx="184594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1845945" cy="6350"/>
                    </a:xfrm>
                    <a:prstGeom prst="rect">
                      <a:avLst/>
                    </a:prstGeom>
                    <a:noFill/>
                  </pic:spPr>
                </pic:pic>
              </a:graphicData>
            </a:graphic>
          </wp:anchor>
        </w:drawing>
      </w:r>
    </w:p>
    <w:p>
      <w:pPr>
        <w:spacing w:after="0" w:line="7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Name:  Nangeng Zhang</w:t>
      </w:r>
    </w:p>
    <w:p>
      <w:pPr>
        <w:spacing w:after="0" w:line="24" w:lineRule="exact"/>
        <w:rPr>
          <w:sz w:val="20"/>
          <w:szCs w:val="20"/>
          <w:color w:val="auto"/>
        </w:rPr>
      </w:pPr>
    </w:p>
    <w:p>
      <w:pPr>
        <w:ind w:left="4660"/>
        <w:spacing w:after="0"/>
        <w:tabs>
          <w:tab w:leader="none" w:pos="5120" w:val="left"/>
        </w:tabs>
        <w:rPr>
          <w:sz w:val="20"/>
          <w:szCs w:val="20"/>
          <w:color w:val="auto"/>
        </w:rPr>
      </w:pPr>
      <w:r>
        <w:rPr>
          <w:rFonts w:ascii="Times New Roman" w:cs="Times New Roman" w:eastAsia="Times New Roman" w:hAnsi="Times New Roman"/>
          <w:sz w:val="13"/>
          <w:szCs w:val="13"/>
          <w:color w:val="auto"/>
        </w:rPr>
        <w:t>Title:</w:t>
        <w:tab/>
        <w:t>Chairman and Chief Executive Officer</w:t>
      </w:r>
    </w:p>
    <w:p>
      <w:pPr>
        <w:spacing w:after="0" w:line="101" w:lineRule="exact"/>
        <w:rPr>
          <w:sz w:val="20"/>
          <w:szCs w:val="20"/>
          <w:color w:val="auto"/>
        </w:rPr>
      </w:pPr>
    </w:p>
    <w:p>
      <w:pPr>
        <w:jc w:val="both"/>
        <w:ind w:left="1440" w:right="1459" w:firstLine="269"/>
        <w:spacing w:after="0" w:line="269" w:lineRule="auto"/>
        <w:rPr>
          <w:sz w:val="20"/>
          <w:szCs w:val="20"/>
          <w:color w:val="auto"/>
        </w:rPr>
      </w:pPr>
      <w:r>
        <w:rPr>
          <w:rFonts w:ascii="Times New Roman" w:cs="Times New Roman" w:eastAsia="Times New Roman" w:hAnsi="Times New Roman"/>
          <w:sz w:val="13"/>
          <w:szCs w:val="13"/>
          <w:color w:val="auto"/>
        </w:rPr>
        <w:t>Pursuant to the requirements of the Securities Act, the registration statement has been signed by the following persons on April 15, 2026 in the capacities indicated.</w:t>
      </w:r>
    </w:p>
    <w:p>
      <w:pPr>
        <w:sectPr>
          <w:pgSz w:w="11900" w:h="16838" w:orient="portrait"/>
          <w:cols w:equalWidth="0" w:num="1">
            <w:col w:w="9019"/>
          </w:cols>
          <w:pgMar w:left="1440" w:top="102" w:right="1440" w:bottom="1440" w:gutter="0" w:footer="0" w:header="0"/>
        </w:sectPr>
      </w:pPr>
    </w:p>
    <w:p>
      <w:pPr>
        <w:spacing w:after="0" w:line="2" w:lineRule="exact"/>
        <w:rPr>
          <w:sz w:val="20"/>
          <w:szCs w:val="20"/>
          <w:color w:val="auto"/>
        </w:rPr>
      </w:pPr>
    </w:p>
    <w:p>
      <w:pPr>
        <w:ind w:left="2720" w:hanging="1285"/>
        <w:spacing w:after="0"/>
        <w:tabs>
          <w:tab w:leader="none" w:pos="2720" w:val="left"/>
        </w:tabs>
        <w:numPr>
          <w:ilvl w:val="0"/>
          <w:numId w:val="35"/>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18415</wp:posOffset>
            </wp:positionV>
            <wp:extent cx="189738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1897380" cy="6350"/>
                    </a:xfrm>
                    <a:prstGeom prst="rect">
                      <a:avLst/>
                    </a:prstGeom>
                    <a:noFill/>
                  </pic:spPr>
                </pic:pic>
              </a:graphicData>
            </a:graphic>
          </wp:anchor>
        </w:drawing>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/s/ Nangeng Zhang</w:t>
            </w: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Name: Nangeng Zhang</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Name: Wenjun Zhang</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Name: Hongchao Du</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Name: Zhitang Shu</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jc w:val="center"/>
              <w:ind w:right="273"/>
              <w:spacing w:after="0"/>
              <w:rPr>
                <w:sz w:val="20"/>
                <w:szCs w:val="20"/>
                <w:color w:val="auto"/>
              </w:rPr>
            </w:pPr>
            <w:r>
              <w:rPr>
                <w:rFonts w:ascii="Times New Roman" w:cs="Times New Roman" w:eastAsia="Times New Roman" w:hAnsi="Times New Roman"/>
                <w:sz w:val="13"/>
                <w:szCs w:val="13"/>
                <w:color w:val="auto"/>
              </w:rPr>
              <w:t>Name: Yaping Zhang</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jc w:val="center"/>
              <w:ind w:right="253"/>
              <w:spacing w:after="0"/>
              <w:rPr>
                <w:sz w:val="20"/>
                <w:szCs w:val="20"/>
                <w:color w:val="auto"/>
              </w:rPr>
            </w:pPr>
            <w:r>
              <w:rPr>
                <w:rFonts w:ascii="Times New Roman" w:cs="Times New Roman" w:eastAsia="Times New Roman" w:hAnsi="Times New Roman"/>
                <w:sz w:val="13"/>
                <w:szCs w:val="13"/>
                <w:color w:val="auto"/>
              </w:rPr>
              <w:t>Name: James Jin Cheng</w:t>
            </w:r>
          </w:p>
        </w:tc>
        <w:tc>
          <w:tcPr>
            <w:tcW w:w="0" w:type="dxa"/>
            <w:vAlign w:val="bottom"/>
          </w:tcPr>
          <w:p>
            <w:pPr>
              <w:spacing w:after="0"/>
              <w:rPr>
                <w:sz w:val="1"/>
                <w:szCs w:val="1"/>
                <w:color w:val="auto"/>
              </w:rPr>
            </w:pPr>
          </w:p>
        </w:tc>
      </w:tr>
      <w:tr>
        <w:trPr>
          <w:trHeight w:val="333"/>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1"/>
              </w:rPr>
              <w:t>By</w:t>
            </w:r>
          </w:p>
        </w:tc>
        <w:tc>
          <w:tcPr>
            <w:tcW w:w="16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Nangeng Zhang</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Name: Nangeng Zhang</w:t>
            </w: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As attorney in fact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-2640330</wp:posOffset>
            </wp:positionV>
            <wp:extent cx="18973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1897380" cy="635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-2255520</wp:posOffset>
            </wp:positionV>
            <wp:extent cx="18973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1897380" cy="635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-1870710</wp:posOffset>
            </wp:positionV>
            <wp:extent cx="18973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1897380" cy="635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-1486535</wp:posOffset>
            </wp:positionV>
            <wp:extent cx="18973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1897380" cy="635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-1101725</wp:posOffset>
            </wp:positionV>
            <wp:extent cx="189738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1897380" cy="635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-716915</wp:posOffset>
            </wp:positionV>
            <wp:extent cx="18973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18973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0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Chairman and Chief Executive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99"/>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Independent Director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5"/>
        </w:trPr>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795" w:lineRule="exact"/>
        <w:rPr>
          <w:sz w:val="20"/>
          <w:szCs w:val="20"/>
          <w:color w:val="auto"/>
        </w:rPr>
      </w:pPr>
    </w:p>
    <w:p>
      <w:pPr>
        <w:sectPr>
          <w:pgSz w:w="11900" w:h="16838" w:orient="portrait"/>
          <w:cols w:equalWidth="0" w:num="2">
            <w:col w:w="4420" w:space="0"/>
            <w:col w:w="4599"/>
          </w:cols>
          <w:pgMar w:left="1440" w:top="10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52" w:name="page53"/>
    <w:bookmarkEnd w:id="52"/>
    <w:p>
      <w:pPr>
        <w:ind w:left="5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 OF AUTHORIZED REPRESENTATIVE OF THE REGISTRANT</w:t>
      </w:r>
    </w:p>
    <w:p>
      <w:pPr>
        <w:spacing w:after="0" w:line="127" w:lineRule="exact"/>
        <w:rPr>
          <w:sz w:val="20"/>
          <w:szCs w:val="20"/>
          <w:color w:val="auto"/>
        </w:rPr>
      </w:pPr>
    </w:p>
    <w:p>
      <w:pPr>
        <w:jc w:val="both"/>
        <w:ind w:left="1440" w:right="1459" w:firstLine="269"/>
        <w:spacing w:after="0" w:line="278" w:lineRule="auto"/>
        <w:rPr>
          <w:sz w:val="20"/>
          <w:szCs w:val="20"/>
          <w:color w:val="auto"/>
        </w:rPr>
      </w:pPr>
      <w:r>
        <w:rPr>
          <w:rFonts w:ascii="Times New Roman" w:cs="Times New Roman" w:eastAsia="Times New Roman" w:hAnsi="Times New Roman"/>
          <w:sz w:val="13"/>
          <w:szCs w:val="13"/>
          <w:color w:val="auto"/>
        </w:rPr>
        <w:t>Pursuant to the requirements of the Securities Act, the undersigned, the duly authorized representative in the United States of Canaan Inc. has signed this registration statement or amendment thereto in New York, United States on April 15, 2026.</w:t>
      </w:r>
    </w:p>
    <w:p>
      <w:pPr>
        <w:spacing w:after="0" w:line="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Authorized U.S. Representative</w:t>
      </w:r>
    </w:p>
    <w:p>
      <w:pPr>
        <w:spacing w:after="0" w:line="2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Cogency Global Inc.</w:t>
      </w: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41275</wp:posOffset>
            </wp:positionV>
            <wp:extent cx="184594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1845945" cy="6350"/>
                    </a:xfrm>
                    <a:prstGeom prst="rect">
                      <a:avLst/>
                    </a:prstGeom>
                    <a:noFill/>
                  </pic:spPr>
                </pic:pic>
              </a:graphicData>
            </a:graphic>
          </wp:anchor>
        </w:drawing>
      </w:r>
    </w:p>
    <w:p>
      <w:pPr>
        <w:spacing w:after="0" w:line="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Name:  Colleen A. De Vries</w:t>
      </w:r>
    </w:p>
    <w:p>
      <w:pPr>
        <w:spacing w:after="0" w:line="24" w:lineRule="exact"/>
        <w:rPr>
          <w:sz w:val="20"/>
          <w:szCs w:val="20"/>
          <w:color w:val="auto"/>
        </w:rPr>
      </w:pPr>
    </w:p>
    <w:p>
      <w:pPr>
        <w:jc w:val="both"/>
        <w:ind w:left="4660"/>
        <w:spacing w:after="0"/>
        <w:tabs>
          <w:tab w:leader="none" w:pos="5120" w:val="left"/>
          <w:tab w:leader="none" w:pos="5620" w:val="left"/>
          <w:tab w:leader="none" w:pos="6020" w:val="left"/>
          <w:tab w:leader="none" w:pos="6680" w:val="left"/>
          <w:tab w:leader="none" w:pos="6940" w:val="left"/>
          <w:tab w:leader="none" w:pos="7440" w:val="left"/>
        </w:tabs>
        <w:rPr>
          <w:sz w:val="20"/>
          <w:szCs w:val="20"/>
          <w:color w:val="auto"/>
        </w:rPr>
      </w:pPr>
      <w:r>
        <w:rPr>
          <w:rFonts w:ascii="Times New Roman" w:cs="Times New Roman" w:eastAsia="Times New Roman" w:hAnsi="Times New Roman"/>
          <w:sz w:val="13"/>
          <w:szCs w:val="13"/>
          <w:color w:val="auto"/>
        </w:rPr>
        <w:t>Title:</w:t>
        <w:tab/>
        <w:t>Senior</w:t>
        <w:tab/>
        <w:t>Vice</w:t>
        <w:tab/>
        <w:t>President</w:t>
        <w:tab/>
        <w:t>on</w:t>
        <w:tab/>
        <w:t>behalf</w:t>
      </w:r>
      <w:r>
        <w:rPr>
          <w:sz w:val="20"/>
          <w:szCs w:val="20"/>
          <w:color w:val="auto"/>
        </w:rPr>
        <w:tab/>
      </w:r>
      <w:r>
        <w:rPr>
          <w:rFonts w:ascii="Times New Roman" w:cs="Times New Roman" w:eastAsia="Times New Roman" w:hAnsi="Times New Roman"/>
          <w:sz w:val="12"/>
          <w:szCs w:val="12"/>
          <w:color w:val="auto"/>
        </w:rPr>
        <w:t>of</w:t>
      </w:r>
    </w:p>
    <w:p>
      <w:pPr>
        <w:spacing w:after="0" w:line="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color w:val="auto"/>
        </w:rPr>
        <w:t>Cogency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189230</wp:posOffset>
            </wp:positionV>
            <wp:extent cx="511556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11556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1835" cy="685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18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ref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Canaan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 Ayer Rajah Crescent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#06-08, S139959</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Singapore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15 April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Sirs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Canaan Inc.</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color w:val="auto"/>
        </w:rPr>
        <w:t>We have acted as Cayman Islands legal advisers to Canaan Inc.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in connection with the Company’s registration statement on Form F-3, including all amendments or supplements thereto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filed with the Securities and Exchange Commission under the U.S. Securities Act of 1933, as amended to date relating to securities to be issued and sold by the Company from time to time. Such securities include:</w:t>
      </w:r>
    </w:p>
    <w:p>
      <w:pPr>
        <w:spacing w:after="0" w:line="119" w:lineRule="exact"/>
        <w:rPr>
          <w:sz w:val="20"/>
          <w:szCs w:val="20"/>
          <w:color w:val="auto"/>
        </w:rPr>
      </w:pPr>
    </w:p>
    <w:p>
      <w:pPr>
        <w:ind w:left="480" w:hanging="237"/>
        <w:spacing w:after="0"/>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ordinary shares of the Company of a par value of US$0.00000005 each (the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including in the form of American depositary shares, each representing 15 Shares (the "</w:t>
      </w:r>
      <w:r>
        <w:rPr>
          <w:rFonts w:ascii="Times New Roman" w:cs="Times New Roman" w:eastAsia="Times New Roman" w:hAnsi="Times New Roman"/>
          <w:sz w:val="13"/>
          <w:szCs w:val="13"/>
          <w:b w:val="1"/>
          <w:bCs w:val="1"/>
          <w:color w:val="auto"/>
        </w:rPr>
        <w:t>ADSs</w:t>
      </w:r>
      <w:r>
        <w:rPr>
          <w:rFonts w:ascii="Times New Roman" w:cs="Times New Roman" w:eastAsia="Times New Roman" w:hAnsi="Times New Roman"/>
          <w:sz w:val="13"/>
          <w:szCs w:val="13"/>
          <w:color w:val="auto"/>
        </w:rPr>
        <w:t>");</w:t>
      </w:r>
    </w:p>
    <w:p>
      <w:pPr>
        <w:spacing w:after="0" w:line="173" w:lineRule="exact"/>
        <w:rPr>
          <w:rFonts w:ascii="Times New Roman" w:cs="Times New Roman" w:eastAsia="Times New Roman" w:hAnsi="Times New Roman"/>
          <w:sz w:val="13"/>
          <w:szCs w:val="13"/>
          <w:color w:val="auto"/>
        </w:rPr>
      </w:pPr>
    </w:p>
    <w:p>
      <w:pPr>
        <w:ind w:left="480" w:hanging="237"/>
        <w:spacing w:after="0"/>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preferred shares of the Company with a par value of US$0.00000005 each (the "</w:t>
      </w:r>
      <w:r>
        <w:rPr>
          <w:rFonts w:ascii="Times New Roman" w:cs="Times New Roman" w:eastAsia="Times New Roman" w:hAnsi="Times New Roman"/>
          <w:sz w:val="13"/>
          <w:szCs w:val="13"/>
          <w:b w:val="1"/>
          <w:bCs w:val="1"/>
          <w:color w:val="auto"/>
        </w:rPr>
        <w:t>Preferred Shares</w:t>
      </w:r>
      <w:r>
        <w:rPr>
          <w:rFonts w:ascii="Times New Roman" w:cs="Times New Roman" w:eastAsia="Times New Roman" w:hAnsi="Times New Roman"/>
          <w:sz w:val="13"/>
          <w:szCs w:val="13"/>
          <w:color w:val="auto"/>
        </w:rPr>
        <w:t>");</w:t>
      </w:r>
    </w:p>
    <w:p>
      <w:pPr>
        <w:spacing w:after="0" w:line="173" w:lineRule="exact"/>
        <w:rPr>
          <w:rFonts w:ascii="Times New Roman" w:cs="Times New Roman" w:eastAsia="Times New Roman" w:hAnsi="Times New Roman"/>
          <w:sz w:val="13"/>
          <w:szCs w:val="13"/>
          <w:color w:val="auto"/>
        </w:rPr>
      </w:pPr>
    </w:p>
    <w:p>
      <w:pPr>
        <w:ind w:left="480" w:hanging="237"/>
        <w:spacing w:after="0" w:line="304" w:lineRule="auto"/>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debt securities of the Company, which may include debt securities exchangeable for or convertible into Shares (collectively the "</w:t>
      </w:r>
      <w:r>
        <w:rPr>
          <w:rFonts w:ascii="Times New Roman" w:cs="Times New Roman" w:eastAsia="Times New Roman" w:hAnsi="Times New Roman"/>
          <w:sz w:val="13"/>
          <w:szCs w:val="13"/>
          <w:b w:val="1"/>
          <w:bCs w:val="1"/>
          <w:color w:val="auto"/>
        </w:rPr>
        <w:t>Debt Securities</w:t>
      </w:r>
      <w:r>
        <w:rPr>
          <w:rFonts w:ascii="Times New Roman" w:cs="Times New Roman" w:eastAsia="Times New Roman" w:hAnsi="Times New Roman"/>
          <w:sz w:val="13"/>
          <w:szCs w:val="13"/>
          <w:color w:val="auto"/>
        </w:rPr>
        <w:t>"), each series of Debt Securities to be issued under indentures to be entered into by the Company and the trustee for such Debt Securities (the "I</w:t>
      </w:r>
      <w:r>
        <w:rPr>
          <w:rFonts w:ascii="Times New Roman" w:cs="Times New Roman" w:eastAsia="Times New Roman" w:hAnsi="Times New Roman"/>
          <w:sz w:val="13"/>
          <w:szCs w:val="13"/>
          <w:b w:val="1"/>
          <w:bCs w:val="1"/>
          <w:color w:val="auto"/>
        </w:rPr>
        <w:t>ndentures</w:t>
      </w:r>
      <w:r>
        <w:rPr>
          <w:rFonts w:ascii="Times New Roman" w:cs="Times New Roman" w:eastAsia="Times New Roman" w:hAnsi="Times New Roman"/>
          <w:sz w:val="13"/>
          <w:szCs w:val="13"/>
          <w:color w:val="auto"/>
        </w:rPr>
        <w:t>");</w:t>
      </w:r>
    </w:p>
    <w:p>
      <w:pPr>
        <w:spacing w:after="0" w:line="105" w:lineRule="exact"/>
        <w:rPr>
          <w:rFonts w:ascii="Times New Roman" w:cs="Times New Roman" w:eastAsia="Times New Roman" w:hAnsi="Times New Roman"/>
          <w:sz w:val="13"/>
          <w:szCs w:val="13"/>
          <w:color w:val="auto"/>
        </w:rPr>
      </w:pPr>
    </w:p>
    <w:p>
      <w:pPr>
        <w:ind w:left="480" w:hanging="237"/>
        <w:spacing w:after="0" w:line="304" w:lineRule="auto"/>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subscribe for Shares in the Company (the "</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 to be issued under warrant agreements to be entered into between the Company and the warrant agent for such Warrants thereunder (the "</w:t>
      </w:r>
      <w:r>
        <w:rPr>
          <w:rFonts w:ascii="Times New Roman" w:cs="Times New Roman" w:eastAsia="Times New Roman" w:hAnsi="Times New Roman"/>
          <w:sz w:val="13"/>
          <w:szCs w:val="13"/>
          <w:b w:val="1"/>
          <w:bCs w:val="1"/>
          <w:color w:val="auto"/>
        </w:rPr>
        <w:t>Warrant Agreements</w:t>
      </w:r>
      <w:r>
        <w:rPr>
          <w:rFonts w:ascii="Times New Roman" w:cs="Times New Roman" w:eastAsia="Times New Roman" w:hAnsi="Times New Roman"/>
          <w:sz w:val="13"/>
          <w:szCs w:val="13"/>
          <w:color w:val="auto"/>
        </w:rPr>
        <w:t>");</w:t>
      </w:r>
    </w:p>
    <w:p>
      <w:pPr>
        <w:spacing w:after="0" w:line="105" w:lineRule="exact"/>
        <w:rPr>
          <w:rFonts w:ascii="Times New Roman" w:cs="Times New Roman" w:eastAsia="Times New Roman" w:hAnsi="Times New Roman"/>
          <w:sz w:val="13"/>
          <w:szCs w:val="13"/>
          <w:color w:val="auto"/>
        </w:rPr>
      </w:pPr>
    </w:p>
    <w:p>
      <w:pPr>
        <w:ind w:left="480" w:hanging="237"/>
        <w:spacing w:after="0" w:line="304" w:lineRule="auto"/>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subscription rights to purchase Shares in the Company (the "</w:t>
      </w:r>
      <w:r>
        <w:rPr>
          <w:rFonts w:ascii="Times New Roman" w:cs="Times New Roman" w:eastAsia="Times New Roman" w:hAnsi="Times New Roman"/>
          <w:sz w:val="13"/>
          <w:szCs w:val="13"/>
          <w:b w:val="1"/>
          <w:bCs w:val="1"/>
          <w:color w:val="auto"/>
        </w:rPr>
        <w:t>Subscription Rights</w:t>
      </w:r>
      <w:r>
        <w:rPr>
          <w:rFonts w:ascii="Times New Roman" w:cs="Times New Roman" w:eastAsia="Times New Roman" w:hAnsi="Times New Roman"/>
          <w:sz w:val="13"/>
          <w:szCs w:val="13"/>
          <w:color w:val="auto"/>
        </w:rPr>
        <w:t>") to be issued under standby underwriting agreements to be entered into among the Company and one or more underwriters for such Subscription Rights thereunder (the "</w:t>
      </w:r>
      <w:r>
        <w:rPr>
          <w:rFonts w:ascii="Times New Roman" w:cs="Times New Roman" w:eastAsia="Times New Roman" w:hAnsi="Times New Roman"/>
          <w:sz w:val="13"/>
          <w:szCs w:val="13"/>
          <w:b w:val="1"/>
          <w:bCs w:val="1"/>
          <w:color w:val="auto"/>
        </w:rPr>
        <w:t>Subscription Rights Agreements</w:t>
      </w:r>
      <w:r>
        <w:rPr>
          <w:rFonts w:ascii="Times New Roman" w:cs="Times New Roman" w:eastAsia="Times New Roman" w:hAnsi="Times New Roman"/>
          <w:sz w:val="13"/>
          <w:szCs w:val="13"/>
          <w:color w:val="auto"/>
        </w:rPr>
        <w:t>"); and</w:t>
      </w:r>
    </w:p>
    <w:p>
      <w:pPr>
        <w:spacing w:after="0" w:line="105" w:lineRule="exact"/>
        <w:rPr>
          <w:rFonts w:ascii="Times New Roman" w:cs="Times New Roman" w:eastAsia="Times New Roman" w:hAnsi="Times New Roman"/>
          <w:sz w:val="13"/>
          <w:szCs w:val="13"/>
          <w:color w:val="auto"/>
        </w:rPr>
      </w:pPr>
    </w:p>
    <w:p>
      <w:pPr>
        <w:ind w:left="480" w:hanging="237"/>
        <w:spacing w:after="0" w:line="304" w:lineRule="auto"/>
        <w:tabs>
          <w:tab w:leader="none" w:pos="4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comprising of one or more of the ADSs, Preferred Shares, Debt Securities, Warrants, or Subscription Rights in any combination (the "</w:t>
      </w:r>
      <w:r>
        <w:rPr>
          <w:rFonts w:ascii="Times New Roman" w:cs="Times New Roman" w:eastAsia="Times New Roman" w:hAnsi="Times New Roman"/>
          <w:sz w:val="13"/>
          <w:szCs w:val="13"/>
          <w:b w:val="1"/>
          <w:bCs w:val="1"/>
          <w:color w:val="auto"/>
        </w:rPr>
        <w:t>Units</w:t>
      </w:r>
      <w:r>
        <w:rPr>
          <w:rFonts w:ascii="Times New Roman" w:cs="Times New Roman" w:eastAsia="Times New Roman" w:hAnsi="Times New Roman"/>
          <w:sz w:val="13"/>
          <w:szCs w:val="13"/>
          <w:color w:val="auto"/>
        </w:rPr>
        <w:t>") to be issued under unit agreements to be entered into between the Company and the unitholder for such Units thereunder (the "</w:t>
      </w:r>
      <w:r>
        <w:rPr>
          <w:rFonts w:ascii="Times New Roman" w:cs="Times New Roman" w:eastAsia="Times New Roman" w:hAnsi="Times New Roman"/>
          <w:sz w:val="13"/>
          <w:szCs w:val="13"/>
          <w:b w:val="1"/>
          <w:bCs w:val="1"/>
          <w:color w:val="auto"/>
        </w:rPr>
        <w:t>Unit Agreements</w:t>
      </w:r>
      <w:r>
        <w:rPr>
          <w:rFonts w:ascii="Times New Roman" w:cs="Times New Roman" w:eastAsia="Times New Roman" w:hAnsi="Times New Roman"/>
          <w:sz w:val="13"/>
          <w:szCs w:val="13"/>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are furnishing this opinion as Exhibits 5.1, 8.1 and 23.2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716661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54" w:name="page55"/>
    <w:bookmarkEnd w:id="54"/>
    <w:p>
      <w:pPr>
        <w:ind w:left="480" w:hanging="479"/>
        <w:spacing w:after="0"/>
        <w:tabs>
          <w:tab w:leader="none" w:pos="48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Documents Reviewed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purposes of this opinion, we have reviewed only originals, copies or final drafts of the following documents:</w:t>
      </w:r>
    </w:p>
    <w:p>
      <w:pPr>
        <w:spacing w:after="0" w:line="174" w:lineRule="exact"/>
        <w:rPr>
          <w:sz w:val="20"/>
          <w:szCs w:val="20"/>
          <w:color w:val="auto"/>
        </w:rPr>
      </w:pPr>
    </w:p>
    <w:p>
      <w:pPr>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1.1</w:t>
      </w:r>
      <w:r>
        <w:rPr>
          <w:sz w:val="20"/>
          <w:szCs w:val="20"/>
          <w:color w:val="auto"/>
        </w:rPr>
        <w:tab/>
      </w:r>
      <w:r>
        <w:rPr>
          <w:rFonts w:ascii="Times New Roman" w:cs="Times New Roman" w:eastAsia="Times New Roman" w:hAnsi="Times New Roman"/>
          <w:sz w:val="13"/>
          <w:szCs w:val="13"/>
          <w:color w:val="auto"/>
        </w:rPr>
        <w:t>The certificate of incorporation of the Company dated 6 February 2018 and the certificate of incorporation on change of name of the Company dated 24 April 2018 issued by the Registrar of Companies in the Cayman Islands.</w:t>
      </w:r>
    </w:p>
    <w:p>
      <w:pPr>
        <w:spacing w:after="0" w:line="113" w:lineRule="exact"/>
        <w:rPr>
          <w:sz w:val="20"/>
          <w:szCs w:val="20"/>
          <w:color w:val="auto"/>
        </w:rPr>
      </w:pPr>
    </w:p>
    <w:p>
      <w:pPr>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3"/>
          <w:szCs w:val="13"/>
          <w:color w:val="auto"/>
        </w:rPr>
        <w:t>The amended and restated memorandum and articles of association of the Company as conditionally adopted by a special resolution passed on 4 October 2019 and effective immediately prior to the completion of the Company’s initial public offering of the ADSs representing the Shares (the "</w:t>
      </w:r>
      <w:r>
        <w:rPr>
          <w:rFonts w:ascii="Times New Roman" w:cs="Times New Roman" w:eastAsia="Times New Roman" w:hAnsi="Times New Roman"/>
          <w:sz w:val="13"/>
          <w:szCs w:val="13"/>
          <w:b w:val="1"/>
          <w:bCs w:val="1"/>
          <w:color w:val="auto"/>
        </w:rPr>
        <w:t>Memorandum and Articles</w:t>
      </w:r>
      <w:r>
        <w:rPr>
          <w:rFonts w:ascii="Times New Roman" w:cs="Times New Roman" w:eastAsia="Times New Roman" w:hAnsi="Times New Roman"/>
          <w:sz w:val="13"/>
          <w:szCs w:val="13"/>
          <w:color w:val="auto"/>
        </w:rPr>
        <w:t>").</w:t>
      </w:r>
    </w:p>
    <w:p>
      <w:pPr>
        <w:spacing w:after="0" w:line="10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1.3</w:t>
      </w:r>
      <w:r>
        <w:rPr>
          <w:sz w:val="20"/>
          <w:szCs w:val="20"/>
          <w:color w:val="auto"/>
        </w:rPr>
        <w:tab/>
      </w:r>
      <w:r>
        <w:rPr>
          <w:rFonts w:ascii="Times New Roman" w:cs="Times New Roman" w:eastAsia="Times New Roman" w:hAnsi="Times New Roman"/>
          <w:sz w:val="13"/>
          <w:szCs w:val="13"/>
          <w:color w:val="auto"/>
        </w:rPr>
        <w:t>The certificate of designation, preferences and rights of Series A Convertible Preferred Shares of the Company dated 27 November 2023 (the "</w:t>
      </w:r>
      <w:r>
        <w:rPr>
          <w:rFonts w:ascii="Times New Roman" w:cs="Times New Roman" w:eastAsia="Times New Roman" w:hAnsi="Times New Roman"/>
          <w:sz w:val="13"/>
          <w:szCs w:val="13"/>
          <w:b w:val="1"/>
          <w:bCs w:val="1"/>
          <w:color w:val="auto"/>
        </w:rPr>
        <w:t>Series A CoD</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1.4</w:t>
      </w:r>
      <w:r>
        <w:rPr>
          <w:sz w:val="20"/>
          <w:szCs w:val="20"/>
          <w:color w:val="auto"/>
        </w:rPr>
        <w:tab/>
      </w:r>
      <w:r>
        <w:rPr>
          <w:rFonts w:ascii="Times New Roman" w:cs="Times New Roman" w:eastAsia="Times New Roman" w:hAnsi="Times New Roman"/>
          <w:sz w:val="13"/>
          <w:szCs w:val="13"/>
          <w:color w:val="auto"/>
        </w:rPr>
        <w:t>The certificate of designation, preferences and rights of Series A-1 Convertible Preferred Shares of the Company dated 13 November 2024 (the "</w:t>
      </w:r>
      <w:r>
        <w:rPr>
          <w:rFonts w:ascii="Times New Roman" w:cs="Times New Roman" w:eastAsia="Times New Roman" w:hAnsi="Times New Roman"/>
          <w:sz w:val="13"/>
          <w:szCs w:val="13"/>
          <w:b w:val="1"/>
          <w:bCs w:val="1"/>
          <w:color w:val="auto"/>
        </w:rPr>
        <w:t>Series A-1 CoD</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1.5</w:t>
      </w:r>
      <w:r>
        <w:rPr>
          <w:sz w:val="20"/>
          <w:szCs w:val="20"/>
          <w:color w:val="auto"/>
        </w:rPr>
        <w:tab/>
      </w:r>
      <w:r>
        <w:rPr>
          <w:rFonts w:ascii="Times New Roman" w:cs="Times New Roman" w:eastAsia="Times New Roman" w:hAnsi="Times New Roman"/>
          <w:sz w:val="13"/>
          <w:szCs w:val="13"/>
          <w:color w:val="auto"/>
        </w:rPr>
        <w:t>The written resolutions of the board of directors of the Company dated 9 April 2026 (the "</w:t>
      </w:r>
      <w:r>
        <w:rPr>
          <w:rFonts w:ascii="Times New Roman" w:cs="Times New Roman" w:eastAsia="Times New Roman" w:hAnsi="Times New Roman"/>
          <w:sz w:val="13"/>
          <w:szCs w:val="13"/>
          <w:b w:val="1"/>
          <w:bCs w:val="1"/>
          <w:color w:val="auto"/>
        </w:rPr>
        <w:t>Board Resolutions</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1.6</w:t>
      </w:r>
      <w:r>
        <w:rPr>
          <w:sz w:val="20"/>
          <w:szCs w:val="20"/>
          <w:color w:val="auto"/>
        </w:rPr>
        <w:tab/>
      </w:r>
      <w:r>
        <w:rPr>
          <w:rFonts w:ascii="Times New Roman" w:cs="Times New Roman" w:eastAsia="Times New Roman" w:hAnsi="Times New Roman"/>
          <w:sz w:val="13"/>
          <w:szCs w:val="13"/>
          <w:color w:val="auto"/>
        </w:rPr>
        <w:t>A certificate from a director of the Company, a copy of which is attached hereto (the "</w:t>
      </w:r>
      <w:r>
        <w:rPr>
          <w:rFonts w:ascii="Times New Roman" w:cs="Times New Roman" w:eastAsia="Times New Roman" w:hAnsi="Times New Roman"/>
          <w:sz w:val="13"/>
          <w:szCs w:val="13"/>
          <w:b w:val="1"/>
          <w:bCs w:val="1"/>
          <w:color w:val="auto"/>
        </w:rPr>
        <w:t>Director's Certificate</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1.7</w:t>
      </w:r>
      <w:r>
        <w:rPr>
          <w:sz w:val="20"/>
          <w:szCs w:val="20"/>
          <w:color w:val="auto"/>
        </w:rPr>
        <w:tab/>
      </w:r>
      <w:r>
        <w:rPr>
          <w:rFonts w:ascii="Times New Roman" w:cs="Times New Roman" w:eastAsia="Times New Roman" w:hAnsi="Times New Roman"/>
          <w:sz w:val="13"/>
          <w:szCs w:val="13"/>
          <w:color w:val="auto"/>
        </w:rPr>
        <w:t>A certificate of good standing dated 13 April 2026, issued by the Registrar of Companies in the Cayman Islands (the "</w:t>
      </w:r>
      <w:r>
        <w:rPr>
          <w:rFonts w:ascii="Times New Roman" w:cs="Times New Roman" w:eastAsia="Times New Roman" w:hAnsi="Times New Roman"/>
          <w:sz w:val="13"/>
          <w:szCs w:val="13"/>
          <w:b w:val="1"/>
          <w:bCs w:val="1"/>
          <w:color w:val="auto"/>
        </w:rPr>
        <w:t>Certificate of Good Standing</w:t>
      </w:r>
      <w:r>
        <w:rPr>
          <w:rFonts w:ascii="Times New Roman" w:cs="Times New Roman" w:eastAsia="Times New Roman" w:hAnsi="Times New Roman"/>
          <w:sz w:val="13"/>
          <w:szCs w:val="13"/>
          <w:color w:val="auto"/>
        </w:rPr>
        <w:t>").</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1.8</w:t>
      </w:r>
      <w:r>
        <w:rPr>
          <w:sz w:val="20"/>
          <w:szCs w:val="20"/>
          <w:color w:val="auto"/>
        </w:rPr>
        <w:tab/>
      </w:r>
      <w:r>
        <w:rPr>
          <w:rFonts w:ascii="Times New Roman" w:cs="Times New Roman" w:eastAsia="Times New Roman" w:hAnsi="Times New Roman"/>
          <w:sz w:val="13"/>
          <w:szCs w:val="13"/>
          <w:color w:val="auto"/>
        </w:rPr>
        <w:t>The Registration Statement.</w:t>
      </w:r>
    </w:p>
    <w:p>
      <w:pPr>
        <w:spacing w:after="0" w:line="170" w:lineRule="exact"/>
        <w:rPr>
          <w:sz w:val="20"/>
          <w:szCs w:val="20"/>
          <w:color w:val="auto"/>
        </w:rPr>
      </w:pPr>
    </w:p>
    <w:p>
      <w:pPr>
        <w:ind w:left="480" w:hanging="479"/>
        <w:spacing w:after="0"/>
        <w:tabs>
          <w:tab w:leader="none" w:pos="48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Assumptions</w:t>
      </w:r>
    </w:p>
    <w:p>
      <w:pPr>
        <w:spacing w:after="0" w:line="1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2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color w:val="auto"/>
        </w:rPr>
        <w:t>Copies of documents, conformed copies or drafts of documents provided to us are true and complete copies of, or in the final forms of, the originals.</w:t>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2.2</w:t>
      </w:r>
      <w:r>
        <w:rPr>
          <w:sz w:val="20"/>
          <w:szCs w:val="20"/>
          <w:color w:val="auto"/>
        </w:rPr>
        <w:tab/>
      </w:r>
      <w:r>
        <w:rPr>
          <w:rFonts w:ascii="Times New Roman" w:cs="Times New Roman" w:eastAsia="Times New Roman" w:hAnsi="Times New Roman"/>
          <w:sz w:val="13"/>
          <w:szCs w:val="13"/>
          <w:color w:val="auto"/>
        </w:rPr>
        <w:t>All signatures, initials and seals are genuine.</w:t>
      </w:r>
    </w:p>
    <w:p>
      <w:pPr>
        <w:spacing w:after="0" w:line="174" w:lineRule="exact"/>
        <w:rPr>
          <w:sz w:val="20"/>
          <w:szCs w:val="20"/>
          <w:color w:val="auto"/>
        </w:rPr>
      </w:pPr>
    </w:p>
    <w:p>
      <w:pPr>
        <w:jc w:val="both"/>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3"/>
          <w:szCs w:val="13"/>
          <w:color w:val="auto"/>
        </w:rPr>
        <w:t>There is no contractual or other prohibition or restriction (other than as arising under Cayman Islands law) binding on the Company prohibiting or restricting it from entering into and performing its obligations under the Registration Statement and a duly authorised, executed and delivered Indenture, Warrant Agreement, Subscription Rights Agreement or Unit Agreement.</w:t>
      </w:r>
    </w:p>
    <w:p>
      <w:pPr>
        <w:spacing w:after="0" w:line="1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2.4</w:t>
      </w:r>
      <w:r>
        <w:rPr>
          <w:sz w:val="20"/>
          <w:szCs w:val="20"/>
          <w:color w:val="auto"/>
        </w:rPr>
        <w:tab/>
      </w:r>
      <w:r>
        <w:rPr>
          <w:rFonts w:ascii="Times New Roman" w:cs="Times New Roman" w:eastAsia="Times New Roman" w:hAnsi="Times New Roman"/>
          <w:sz w:val="13"/>
          <w:szCs w:val="13"/>
          <w:color w:val="auto"/>
        </w:rPr>
        <w:t>The Company will have sufficient authorised capital to effect the issue of the Shares and the Preferred Shares at the time of issuance.</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55" w:name="page56"/>
    <w:bookmarkEnd w:id="55"/>
    <w:p>
      <w:pPr>
        <w:jc w:val="both"/>
        <w:ind w:left="480" w:hanging="484"/>
        <w:spacing w:after="0" w:line="278" w:lineRule="auto"/>
        <w:tabs>
          <w:tab w:leader="none" w:pos="460" w:val="left"/>
        </w:tabs>
        <w:rPr>
          <w:sz w:val="20"/>
          <w:szCs w:val="20"/>
          <w:color w:val="auto"/>
        </w:rPr>
      </w:pPr>
      <w:r>
        <w:rPr>
          <w:rFonts w:ascii="Times New Roman" w:cs="Times New Roman" w:eastAsia="Times New Roman" w:hAnsi="Times New Roman"/>
          <w:sz w:val="13"/>
          <w:szCs w:val="13"/>
          <w:color w:val="auto"/>
        </w:rPr>
        <w:t>2.5</w:t>
      </w:r>
      <w:r>
        <w:rPr>
          <w:sz w:val="20"/>
          <w:szCs w:val="20"/>
          <w:color w:val="auto"/>
        </w:rPr>
        <w:tab/>
      </w:r>
      <w:r>
        <w:rPr>
          <w:rFonts w:ascii="Times New Roman" w:cs="Times New Roman" w:eastAsia="Times New Roman" w:hAnsi="Times New Roman"/>
          <w:sz w:val="13"/>
          <w:szCs w:val="13"/>
          <w:color w:val="auto"/>
        </w:rPr>
        <w:t>The Indentures and the Debt Securities, the Warrant Agreements and the Warrants, the Subscription Rights and the Subscription Rights Agreements and the Units and the Unit Agreements, will be, legal, valid, binding and enforceable against all relevant parties in accordance with their terms under the laws of the State of New York and all other relevant laws (other than, with respect to the Company, the laws of the Cayman Islands).</w:t>
      </w:r>
    </w:p>
    <w:p>
      <w:pPr>
        <w:spacing w:after="0" w:line="127" w:lineRule="exact"/>
        <w:rPr>
          <w:sz w:val="20"/>
          <w:szCs w:val="20"/>
          <w:color w:val="auto"/>
        </w:rPr>
      </w:pPr>
    </w:p>
    <w:p>
      <w:pPr>
        <w:jc w:val="both"/>
        <w:ind w:left="480" w:hanging="484"/>
        <w:spacing w:after="0" w:line="278" w:lineRule="auto"/>
        <w:tabs>
          <w:tab w:leader="none" w:pos="460" w:val="left"/>
        </w:tabs>
        <w:rPr>
          <w:sz w:val="20"/>
          <w:szCs w:val="20"/>
          <w:color w:val="auto"/>
        </w:rPr>
      </w:pPr>
      <w:r>
        <w:rPr>
          <w:rFonts w:ascii="Times New Roman" w:cs="Times New Roman" w:eastAsia="Times New Roman" w:hAnsi="Times New Roman"/>
          <w:sz w:val="13"/>
          <w:szCs w:val="13"/>
          <w:color w:val="auto"/>
        </w:rPr>
        <w:t>2.6</w:t>
      </w:r>
      <w:r>
        <w:rPr>
          <w:sz w:val="20"/>
          <w:szCs w:val="20"/>
          <w:color w:val="auto"/>
        </w:rPr>
        <w:tab/>
      </w:r>
      <w:r>
        <w:rPr>
          <w:rFonts w:ascii="Times New Roman" w:cs="Times New Roman" w:eastAsia="Times New Roman" w:hAnsi="Times New Roman"/>
          <w:sz w:val="13"/>
          <w:szCs w:val="13"/>
          <w:color w:val="auto"/>
        </w:rPr>
        <w:t>The choice of the laws of the State of New York as the governing law of the Indenture and the Debt Securities, the Warrant Agreements and the Warrants and the Subscription Rights and the Subscription Rights Agreements,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p>
      <w:pPr>
        <w:spacing w:after="0" w:line="127" w:lineRule="exact"/>
        <w:rPr>
          <w:sz w:val="20"/>
          <w:szCs w:val="20"/>
          <w:color w:val="auto"/>
        </w:rPr>
      </w:pPr>
    </w:p>
    <w:p>
      <w:pPr>
        <w:jc w:val="both"/>
        <w:ind w:left="480" w:hanging="484"/>
        <w:spacing w:after="0" w:line="278" w:lineRule="auto"/>
        <w:tabs>
          <w:tab w:leader="none" w:pos="460" w:val="left"/>
        </w:tabs>
        <w:rPr>
          <w:sz w:val="20"/>
          <w:szCs w:val="20"/>
          <w:color w:val="auto"/>
        </w:rPr>
      </w:pPr>
      <w:r>
        <w:rPr>
          <w:rFonts w:ascii="Times New Roman" w:cs="Times New Roman" w:eastAsia="Times New Roman" w:hAnsi="Times New Roman"/>
          <w:sz w:val="13"/>
          <w:szCs w:val="13"/>
          <w:color w:val="auto"/>
        </w:rPr>
        <w:t>2.7</w:t>
      </w:r>
      <w:r>
        <w:rPr>
          <w:sz w:val="20"/>
          <w:szCs w:val="20"/>
          <w:color w:val="auto"/>
        </w:rPr>
        <w:tab/>
      </w:r>
      <w:r>
        <w:rPr>
          <w:rFonts w:ascii="Times New Roman" w:cs="Times New Roman" w:eastAsia="Times New Roman" w:hAnsi="Times New Roman"/>
          <w:sz w:val="13"/>
          <w:szCs w:val="13"/>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Indenture and the Debt Securities, the Warrant Agreements and the Warrants and the Subscription Rights and the Subscription Rights Agreements.</w:t>
      </w:r>
    </w:p>
    <w:p>
      <w:pPr>
        <w:spacing w:after="0" w:line="127" w:lineRule="exact"/>
        <w:rPr>
          <w:sz w:val="20"/>
          <w:szCs w:val="20"/>
          <w:color w:val="auto"/>
        </w:rPr>
      </w:pPr>
    </w:p>
    <w:p>
      <w:pPr>
        <w:jc w:val="both"/>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2.8</w:t>
      </w:r>
      <w:r>
        <w:rPr>
          <w:sz w:val="20"/>
          <w:szCs w:val="20"/>
          <w:color w:val="auto"/>
        </w:rPr>
        <w:tab/>
      </w:r>
      <w:r>
        <w:rPr>
          <w:rFonts w:ascii="Times New Roman" w:cs="Times New Roman" w:eastAsia="Times New Roman" w:hAnsi="Times New Roman"/>
          <w:sz w:val="13"/>
          <w:szCs w:val="13"/>
          <w:color w:val="auto"/>
        </w:rPr>
        <w:t>No monies paid to or for the account of the Company in respect of the Shares, the Debt Securities, the Warrants, the Subscription Rights or the Units represent or will represent proceeds of criminal conduct or criminal property or terrorist property (as defined in the Proceeds of Crime Act (As Revised) and the Terrorism Act (As Revised) respectively).</w:t>
      </w:r>
    </w:p>
    <w:p>
      <w:pPr>
        <w:spacing w:after="0" w:line="1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2.9</w:t>
      </w:r>
      <w:r>
        <w:rPr>
          <w:sz w:val="20"/>
          <w:szCs w:val="20"/>
          <w:color w:val="auto"/>
        </w:rPr>
        <w:tab/>
      </w:r>
      <w:r>
        <w:rPr>
          <w:rFonts w:ascii="Times New Roman" w:cs="Times New Roman" w:eastAsia="Times New Roman" w:hAnsi="Times New Roman"/>
          <w:sz w:val="13"/>
          <w:szCs w:val="13"/>
          <w:color w:val="auto"/>
        </w:rPr>
        <w:t>There is nothing under any law (other than the law of the Cayman Islands), which would or might affect the opinions set out below.</w:t>
      </w:r>
    </w:p>
    <w:p>
      <w:pPr>
        <w:spacing w:after="0" w:line="170" w:lineRule="exact"/>
        <w:rPr>
          <w:sz w:val="20"/>
          <w:szCs w:val="20"/>
          <w:color w:val="auto"/>
        </w:rPr>
      </w:pPr>
    </w:p>
    <w:p>
      <w:pPr>
        <w:ind w:left="480" w:hanging="479"/>
        <w:spacing w:after="0"/>
        <w:tabs>
          <w:tab w:leader="none" w:pos="480"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upon the foregoing and subject to the qualifications set out below and having regard to such legal considerations as we deem relevant, we are of the opinion that:</w:t>
      </w:r>
    </w:p>
    <w:p>
      <w:pPr>
        <w:spacing w:after="0" w:line="174" w:lineRule="exact"/>
        <w:rPr>
          <w:sz w:val="20"/>
          <w:szCs w:val="20"/>
          <w:color w:val="auto"/>
        </w:rPr>
      </w:pPr>
    </w:p>
    <w:p>
      <w:pPr>
        <w:jc w:val="both"/>
        <w:ind w:left="480" w:hanging="484"/>
        <w:spacing w:after="0" w:line="269" w:lineRule="auto"/>
        <w:tabs>
          <w:tab w:leader="none" w:pos="46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3"/>
          <w:szCs w:val="13"/>
          <w:color w:val="auto"/>
        </w:rPr>
        <w:t>The Company has been duly incorporated as an exempted company with limited liability and is validly existing and in good standing with the Registrar of Companies under the laws of the Cayman Islands.</w:t>
      </w:r>
    </w:p>
    <w:p>
      <w:pPr>
        <w:spacing w:after="0" w:line="311" w:lineRule="exact"/>
        <w:rPr>
          <w:sz w:val="20"/>
          <w:szCs w:val="20"/>
          <w:color w:val="auto"/>
        </w:rPr>
      </w:pPr>
    </w:p>
    <w:p>
      <w:pPr>
        <w:jc w:val="both"/>
        <w:ind w:left="480" w:hanging="484"/>
        <w:spacing w:after="0" w:line="278" w:lineRule="auto"/>
        <w:tabs>
          <w:tab w:leader="none" w:pos="46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3"/>
          <w:szCs w:val="13"/>
          <w:color w:val="auto"/>
        </w:rPr>
        <w:t>The authorised share capital of the Company is US$50,000 divided into 1,000,000,000,000 shares of par value US$0.00000005 comprising of (i) 999,643,050,556 Class A Ordinary Shares of a par value of US$0.00000005 each, (ii) 356,624,444 Class B Ordinary Shares of a par value of US$0.00000005 each, (iii) 125,000 series A preferred shares of a par value of US$0.00000005 each, and (iv) 200,000 series A-1 preferred shares of a par value of US$0.00000005 each.</w:t>
      </w:r>
    </w:p>
    <w:p>
      <w:pPr>
        <w:spacing w:after="0" w:line="127" w:lineRule="exact"/>
        <w:rPr>
          <w:sz w:val="20"/>
          <w:szCs w:val="20"/>
          <w:color w:val="auto"/>
        </w:rPr>
      </w:pPr>
    </w:p>
    <w:p>
      <w:pPr>
        <w:jc w:val="both"/>
        <w:ind w:left="480" w:hanging="484"/>
        <w:spacing w:after="0" w:line="272" w:lineRule="auto"/>
        <w:tabs>
          <w:tab w:leader="none" w:pos="46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3"/>
          <w:szCs w:val="13"/>
          <w:color w:val="auto"/>
        </w:rPr>
        <w:t>With respect to the Shares, including those represented by ADSs, and the Preferred Shares, when (i) the Board has taken all necessary corporate action to approve the issue thereof, the terms of the offering thereof and related matters; (ii) the issue of such Shares or Preferred Shares has been recorded in the Company's register of members (shareholders); and (iii) the subscription price of such Shares or Preferred Shares, (being not less than the par value of the Shares or Preferred Shares, as the case may be) has been fully paid in cash or other consideration approved by the Board, the Shares or Preferred Shares will be duly authorised, validly issued, fully paid and non-assessable.</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2" w:right="319" w:bottom="1440" w:gutter="0" w:footer="0" w:header="0"/>
        </w:sectPr>
      </w:pPr>
    </w:p>
    <w:bookmarkStart w:id="56" w:name="page57"/>
    <w:bookmarkEnd w:id="56"/>
    <w:p>
      <w:pPr>
        <w:jc w:val="both"/>
        <w:ind w:left="480" w:hanging="484"/>
        <w:spacing w:after="0" w:line="269" w:lineRule="auto"/>
        <w:tabs>
          <w:tab w:leader="none" w:pos="460" w:val="left"/>
        </w:tabs>
        <w:rPr>
          <w:sz w:val="20"/>
          <w:szCs w:val="20"/>
          <w:color w:val="auto"/>
        </w:rPr>
      </w:pPr>
      <w:r>
        <w:rPr>
          <w:rFonts w:ascii="Times New Roman" w:cs="Times New Roman" w:eastAsia="Times New Roman" w:hAnsi="Times New Roman"/>
          <w:sz w:val="13"/>
          <w:szCs w:val="13"/>
          <w:color w:val="auto"/>
        </w:rPr>
        <w:t>3.4</w:t>
      </w:r>
      <w:r>
        <w:rPr>
          <w:sz w:val="20"/>
          <w:szCs w:val="20"/>
          <w:color w:val="auto"/>
        </w:rPr>
        <w:tab/>
      </w:r>
      <w:r>
        <w:rPr>
          <w:rFonts w:ascii="Times New Roman" w:cs="Times New Roman" w:eastAsia="Times New Roman" w:hAnsi="Times New Roman"/>
          <w:sz w:val="13"/>
          <w:szCs w:val="13"/>
          <w:color w:val="auto"/>
        </w:rPr>
        <w:t>With respect to each issue of the Debt Securities, when (i) the Board has taken all necessary corporate action to approve the creation and terms of the Debt Securities and to approve the issue thereof, the terms of the offering thereof and related matters; (ii) an Indenture relating to the Debt Securities and the Debt Securities shall have been authorised and duly executed and delivered by and on behalf of the Company and all the relevant parties thereunder in accordance with all relevant laws; and (iii) when such Debt Securities issued thereunder have been duly executed and delivered on behalf of the Company and authenticated in the manner set forth in the Indenture relating to such issue of Debt Securities and delivered against due payment therefor pursuant to, and in accordance with, the terms of the Registration Statement and any relevant prospectus supplement, such Debt Securities issued pursuant to the Indenture will have been duly executed, issued and delivered.</w:t>
      </w:r>
    </w:p>
    <w:p>
      <w:pPr>
        <w:spacing w:after="0" w:line="131" w:lineRule="exact"/>
        <w:rPr>
          <w:sz w:val="20"/>
          <w:szCs w:val="20"/>
          <w:color w:val="auto"/>
        </w:rPr>
      </w:pPr>
    </w:p>
    <w:p>
      <w:pPr>
        <w:jc w:val="both"/>
        <w:ind w:left="480" w:hanging="484"/>
        <w:spacing w:after="0" w:line="269" w:lineRule="auto"/>
        <w:tabs>
          <w:tab w:leader="none" w:pos="460" w:val="left"/>
        </w:tabs>
        <w:rPr>
          <w:sz w:val="20"/>
          <w:szCs w:val="20"/>
          <w:color w:val="auto"/>
        </w:rPr>
      </w:pPr>
      <w:r>
        <w:rPr>
          <w:rFonts w:ascii="Times New Roman" w:cs="Times New Roman" w:eastAsia="Times New Roman" w:hAnsi="Times New Roman"/>
          <w:sz w:val="13"/>
          <w:szCs w:val="13"/>
          <w:color w:val="auto"/>
        </w:rPr>
        <w:t>3.5</w:t>
      </w:r>
      <w:r>
        <w:rPr>
          <w:sz w:val="20"/>
          <w:szCs w:val="20"/>
          <w:color w:val="auto"/>
        </w:rPr>
        <w:tab/>
      </w:r>
      <w:r>
        <w:rPr>
          <w:rFonts w:ascii="Times New Roman" w:cs="Times New Roman" w:eastAsia="Times New Roman" w:hAnsi="Times New Roman"/>
          <w:sz w:val="13"/>
          <w:szCs w:val="13"/>
          <w:color w:val="auto"/>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 relating to the Warrants and the applicable definitive purchase, underwriting or similar agreement approved by the Board upon payment of the consideration therefor provided therein, the Warrants will have been duly authorised, legal and binding obligations of the Company.</w:t>
      </w:r>
    </w:p>
    <w:p>
      <w:pPr>
        <w:spacing w:after="0" w:line="131" w:lineRule="exact"/>
        <w:rPr>
          <w:sz w:val="20"/>
          <w:szCs w:val="20"/>
          <w:color w:val="auto"/>
        </w:rPr>
      </w:pPr>
    </w:p>
    <w:p>
      <w:pPr>
        <w:jc w:val="both"/>
        <w:ind w:left="480" w:hanging="484"/>
        <w:spacing w:after="0" w:line="267" w:lineRule="auto"/>
        <w:tabs>
          <w:tab w:leader="none" w:pos="460" w:val="left"/>
        </w:tabs>
        <w:rPr>
          <w:sz w:val="20"/>
          <w:szCs w:val="20"/>
          <w:color w:val="auto"/>
        </w:rPr>
      </w:pPr>
      <w:r>
        <w:rPr>
          <w:rFonts w:ascii="Times New Roman" w:cs="Times New Roman" w:eastAsia="Times New Roman" w:hAnsi="Times New Roman"/>
          <w:sz w:val="13"/>
          <w:szCs w:val="13"/>
          <w:color w:val="auto"/>
        </w:rPr>
        <w:t>3.6</w:t>
      </w:r>
      <w:r>
        <w:rPr>
          <w:sz w:val="20"/>
          <w:szCs w:val="20"/>
          <w:color w:val="auto"/>
        </w:rPr>
        <w:tab/>
      </w:r>
      <w:r>
        <w:rPr>
          <w:rFonts w:ascii="Times New Roman" w:cs="Times New Roman" w:eastAsia="Times New Roman" w:hAnsi="Times New Roman"/>
          <w:sz w:val="13"/>
          <w:szCs w:val="13"/>
          <w:color w:val="auto"/>
        </w:rPr>
        <w:t>With respect to each issue of the Subscription Rights, when (i) the Board has taken all necessary corporate action to approve the creation and terms of the Subscription Rights and to approve the issue thereof, the terms of the offering thereof and related matters; (ii) a Subscription Rights Agreement relating to the Subscription Rights and the Subscription Rights shall have been authorised and duly executed and delivered by and on behalf of the Company and all the relevant parties thereunder in accordance with all relevant laws; and (iii) when such Subscription Rights issued thereunder have been duly executed and delivered on behalf of the Company and authenticated in the manner set forth in the Subscription Rights Agreement relating to such issue of Subscription Rights and delivered against due payment therefor pursuant to, and in accordance with, the terms of the Registration Statement and any relevant prospectus supplement, such Subscription Rights issued pursuant to the Subscription Rights Agreement will have been duly executed, issued and delivered.</w:t>
      </w:r>
    </w:p>
    <w:p>
      <w:pPr>
        <w:spacing w:after="0" w:line="133" w:lineRule="exact"/>
        <w:rPr>
          <w:sz w:val="20"/>
          <w:szCs w:val="20"/>
          <w:color w:val="auto"/>
        </w:rPr>
      </w:pPr>
    </w:p>
    <w:p>
      <w:pPr>
        <w:jc w:val="both"/>
        <w:ind w:left="480" w:hanging="484"/>
        <w:spacing w:after="0" w:line="269" w:lineRule="auto"/>
        <w:tabs>
          <w:tab w:leader="none" w:pos="460" w:val="left"/>
        </w:tabs>
        <w:rPr>
          <w:sz w:val="20"/>
          <w:szCs w:val="20"/>
          <w:color w:val="auto"/>
        </w:rPr>
      </w:pPr>
      <w:r>
        <w:rPr>
          <w:rFonts w:ascii="Times New Roman" w:cs="Times New Roman" w:eastAsia="Times New Roman" w:hAnsi="Times New Roman"/>
          <w:sz w:val="13"/>
          <w:szCs w:val="13"/>
          <w:color w:val="auto"/>
        </w:rPr>
        <w:t>3.7</w:t>
      </w:r>
      <w:r>
        <w:rPr>
          <w:sz w:val="20"/>
          <w:szCs w:val="20"/>
          <w:color w:val="auto"/>
        </w:rPr>
        <w:tab/>
      </w:r>
      <w:r>
        <w:rPr>
          <w:rFonts w:ascii="Times New Roman" w:cs="Times New Roman" w:eastAsia="Times New Roman" w:hAnsi="Times New Roman"/>
          <w:sz w:val="13"/>
          <w:szCs w:val="13"/>
          <w:color w:val="auto"/>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 relating to such issue of Units and delivered against due payment therefor pursuant to, and in accordance with, the terms of the Registration Statement and any relevant prospectus supplement, such Units issued pursuant to the Unit Agreement will have been duly executed, issued and delivered.</w:t>
      </w:r>
    </w:p>
    <w:p>
      <w:pPr>
        <w:spacing w:after="0" w:line="131" w:lineRule="exact"/>
        <w:rPr>
          <w:sz w:val="20"/>
          <w:szCs w:val="20"/>
          <w:color w:val="auto"/>
        </w:rPr>
      </w:pPr>
    </w:p>
    <w:p>
      <w:pPr>
        <w:jc w:val="both"/>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3.8</w:t>
      </w:r>
      <w:r>
        <w:rPr>
          <w:sz w:val="20"/>
          <w:szCs w:val="20"/>
          <w:color w:val="auto"/>
        </w:rPr>
        <w:tab/>
      </w:r>
      <w:r>
        <w:rPr>
          <w:rFonts w:ascii="Times New Roman" w:cs="Times New Roman" w:eastAsia="Times New Roman" w:hAnsi="Times New Roman"/>
          <w:sz w:val="13"/>
          <w:szCs w:val="13"/>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2" w:right="319" w:bottom="1440" w:gutter="0" w:footer="0" w:header="0"/>
        </w:sectPr>
      </w:pPr>
    </w:p>
    <w:bookmarkStart w:id="57" w:name="page58"/>
    <w:bookmarkEnd w:id="57"/>
    <w:p>
      <w:pPr>
        <w:ind w:left="480" w:hanging="479"/>
        <w:spacing w:after="0"/>
        <w:tabs>
          <w:tab w:leader="none" w:pos="48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Qualifications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opinions expressed above are subject to the following qualifications:</w:t>
      </w:r>
    </w:p>
    <w:p>
      <w:pPr>
        <w:spacing w:after="0" w:line="174" w:lineRule="exact"/>
        <w:rPr>
          <w:sz w:val="20"/>
          <w:szCs w:val="20"/>
          <w:color w:val="auto"/>
        </w:rPr>
      </w:pPr>
    </w:p>
    <w:p>
      <w:pPr>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13" w:lineRule="exact"/>
        <w:rPr>
          <w:sz w:val="20"/>
          <w:szCs w:val="20"/>
          <w:color w:val="auto"/>
        </w:rPr>
      </w:pPr>
    </w:p>
    <w:p>
      <w:pPr>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The obligations assumed by the Company under the Indentures, the Warrant Agreements, the Subscription Rights Agreements and the Unit Agreements will not necessarily be enforceable in all circumstances in accordance with their terms. In particular:</w:t>
      </w:r>
    </w:p>
    <w:p>
      <w:pPr>
        <w:spacing w:after="0" w:line="113" w:lineRule="exact"/>
        <w:rPr>
          <w:sz w:val="20"/>
          <w:szCs w:val="20"/>
          <w:color w:val="auto"/>
        </w:rPr>
      </w:pPr>
    </w:p>
    <w:p>
      <w:pPr>
        <w:ind w:left="980" w:hanging="495"/>
        <w:spacing w:after="0" w:line="298" w:lineRule="auto"/>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11" w:lineRule="exact"/>
        <w:rPr>
          <w:rFonts w:ascii="Times New Roman" w:cs="Times New Roman" w:eastAsia="Times New Roman" w:hAnsi="Times New Roman"/>
          <w:sz w:val="13"/>
          <w:szCs w:val="13"/>
          <w:color w:val="auto"/>
        </w:rPr>
      </w:pPr>
    </w:p>
    <w:p>
      <w:pPr>
        <w:ind w:left="980" w:hanging="495"/>
        <w:spacing w:after="0" w:line="301" w:lineRule="auto"/>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3"/>
          <w:szCs w:val="13"/>
          <w:i w:val="1"/>
          <w:iCs w:val="1"/>
          <w:color w:val="auto"/>
        </w:rPr>
        <w:t>inter alia</w:t>
      </w:r>
      <w:r>
        <w:rPr>
          <w:rFonts w:ascii="Times New Roman" w:cs="Times New Roman" w:eastAsia="Times New Roman" w:hAnsi="Times New Roman"/>
          <w:sz w:val="13"/>
          <w:szCs w:val="13"/>
          <w:color w:val="auto"/>
        </w:rPr>
        <w:t>, where damages are considered to be an adequate remedy;</w:t>
      </w:r>
    </w:p>
    <w:p>
      <w:pPr>
        <w:spacing w:after="0" w:line="111" w:lineRule="exact"/>
        <w:rPr>
          <w:rFonts w:ascii="Times New Roman" w:cs="Times New Roman" w:eastAsia="Times New Roman" w:hAnsi="Times New Roman"/>
          <w:sz w:val="13"/>
          <w:szCs w:val="13"/>
          <w:color w:val="auto"/>
        </w:rPr>
      </w:pPr>
    </w:p>
    <w:p>
      <w:pPr>
        <w:ind w:left="980" w:hanging="495"/>
        <w:spacing w:after="0"/>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claims may become barred under relevant statutes of limitation or may be or become subject to defences of set off, counterclaim, estoppel and similar defences;</w:t>
      </w:r>
    </w:p>
    <w:p>
      <w:pPr>
        <w:spacing w:after="0" w:line="173" w:lineRule="exact"/>
        <w:rPr>
          <w:rFonts w:ascii="Times New Roman" w:cs="Times New Roman" w:eastAsia="Times New Roman" w:hAnsi="Times New Roman"/>
          <w:sz w:val="13"/>
          <w:szCs w:val="13"/>
          <w:color w:val="auto"/>
        </w:rPr>
      </w:pPr>
    </w:p>
    <w:p>
      <w:pPr>
        <w:ind w:left="980" w:hanging="495"/>
        <w:spacing w:after="0" w:line="298" w:lineRule="auto"/>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13" w:lineRule="exact"/>
        <w:rPr>
          <w:rFonts w:ascii="Times New Roman" w:cs="Times New Roman" w:eastAsia="Times New Roman" w:hAnsi="Times New Roman"/>
          <w:sz w:val="13"/>
          <w:szCs w:val="13"/>
          <w:color w:val="auto"/>
        </w:rPr>
      </w:pPr>
    </w:p>
    <w:p>
      <w:pPr>
        <w:jc w:val="both"/>
        <w:ind w:left="980" w:hanging="495"/>
        <w:spacing w:after="0" w:line="272" w:lineRule="auto"/>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129" w:lineRule="exact"/>
        <w:rPr>
          <w:rFonts w:ascii="Times New Roman" w:cs="Times New Roman" w:eastAsia="Times New Roman" w:hAnsi="Times New Roman"/>
          <w:sz w:val="13"/>
          <w:szCs w:val="13"/>
          <w:color w:val="auto"/>
        </w:rPr>
      </w:pPr>
    </w:p>
    <w:p>
      <w:pPr>
        <w:ind w:left="980" w:hanging="495"/>
        <w:spacing w:after="0"/>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arrangements that constitute penalties will not be enforceable;</w:t>
      </w:r>
    </w:p>
    <w:p>
      <w:pPr>
        <w:spacing w:after="0" w:line="173" w:lineRule="exact"/>
        <w:rPr>
          <w:rFonts w:ascii="Times New Roman" w:cs="Times New Roman" w:eastAsia="Times New Roman" w:hAnsi="Times New Roman"/>
          <w:sz w:val="13"/>
          <w:szCs w:val="13"/>
          <w:color w:val="auto"/>
        </w:rPr>
      </w:pPr>
    </w:p>
    <w:p>
      <w:pPr>
        <w:ind w:left="980" w:hanging="495"/>
        <w:spacing w:after="0"/>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enforcement may be prevented by reason of fraud, coercion, duress, undue influence, misrepresentation, public policy or mistake or limited by the doctrine of frustration of contracts;</w:t>
      </w:r>
    </w:p>
    <w:p>
      <w:pPr>
        <w:spacing w:after="0" w:line="173" w:lineRule="exact"/>
        <w:rPr>
          <w:rFonts w:ascii="Times New Roman" w:cs="Times New Roman" w:eastAsia="Times New Roman" w:hAnsi="Times New Roman"/>
          <w:sz w:val="13"/>
          <w:szCs w:val="13"/>
          <w:color w:val="auto"/>
        </w:rPr>
      </w:pPr>
    </w:p>
    <w:p>
      <w:pPr>
        <w:ind w:left="980" w:hanging="495"/>
        <w:spacing w:after="0"/>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imposing confidentiality obligations may be overridden by compulsion of applicable law or the requirements of legal and/or regulatory process;</w:t>
      </w:r>
    </w:p>
    <w:p>
      <w:pPr>
        <w:spacing w:after="0" w:line="173" w:lineRule="exact"/>
        <w:rPr>
          <w:rFonts w:ascii="Times New Roman" w:cs="Times New Roman" w:eastAsia="Times New Roman" w:hAnsi="Times New Roman"/>
          <w:sz w:val="13"/>
          <w:szCs w:val="13"/>
          <w:color w:val="auto"/>
        </w:rPr>
      </w:pPr>
    </w:p>
    <w:p>
      <w:pPr>
        <w:ind w:left="980" w:hanging="495"/>
        <w:spacing w:after="0" w:line="298" w:lineRule="auto"/>
        <w:tabs>
          <w:tab w:leader="none" w:pos="9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courts of the Cayman Islands may decline to exercise jurisdiction in relation to substantive proceedings brought under or in relation to the Indentures, the Warrant Agreements, the Subscription Rights Agreements and Unit Agreements in matters where they determine that such proceedings may be tried in a more appropriate forum;</w:t>
      </w: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58" w:name="page59"/>
    <w:bookmarkEnd w:id="58"/>
    <w:p>
      <w:pPr>
        <w:ind w:left="980" w:hanging="495"/>
        <w:spacing w:after="0" w:line="298" w:lineRule="auto"/>
        <w:tabs>
          <w:tab w:leader="none" w:pos="9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reserve our opinion as to the enforceability of the relevant provisions of the Indentures, the Warrant Agreements, the Subscription Rights Agreements and the Unit Agreements to the extent that they purport to grant exclusive jurisdiction as there may be circumstances in which the courts of the Cayman Islands would accept jurisdiction notwithstanding such provisions;</w:t>
      </w:r>
    </w:p>
    <w:p>
      <w:pPr>
        <w:spacing w:after="0" w:line="113" w:lineRule="exact"/>
        <w:rPr>
          <w:rFonts w:ascii="Times New Roman" w:cs="Times New Roman" w:eastAsia="Times New Roman" w:hAnsi="Times New Roman"/>
          <w:sz w:val="13"/>
          <w:szCs w:val="13"/>
          <w:color w:val="auto"/>
        </w:rPr>
      </w:pPr>
    </w:p>
    <w:p>
      <w:pPr>
        <w:jc w:val="both"/>
        <w:ind w:left="980" w:hanging="495"/>
        <w:spacing w:after="0" w:line="272" w:lineRule="auto"/>
        <w:tabs>
          <w:tab w:leader="none" w:pos="9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cannot, by agreement or in its articles of association, restrict the exercise of a statutory power and there is doubt as to the enforceability of any provision in the Indentures, the Warrant Agreements, the Subscription Rights Agreements and the Unit Agreements whereby the Company covenants to restrict the exercise of powers specifically given to it under the Companies Act (As Revised) (the "</w:t>
      </w:r>
      <w:r>
        <w:rPr>
          <w:rFonts w:ascii="Times New Roman" w:cs="Times New Roman" w:eastAsia="Times New Roman" w:hAnsi="Times New Roman"/>
          <w:sz w:val="13"/>
          <w:szCs w:val="13"/>
          <w:b w:val="1"/>
          <w:bCs w:val="1"/>
          <w:color w:val="auto"/>
        </w:rPr>
        <w:t>Companies Act</w:t>
      </w:r>
      <w:r>
        <w:rPr>
          <w:rFonts w:ascii="Times New Roman" w:cs="Times New Roman" w:eastAsia="Times New Roman" w:hAnsi="Times New Roman"/>
          <w:sz w:val="13"/>
          <w:szCs w:val="13"/>
          <w:color w:val="auto"/>
        </w:rPr>
        <w:t>"), including, without limitation, the power to increase its authorised share capital, amend its memorandum and articles of association or present a petition to a Cayman Islands court for an order to wind up the Company; and</w:t>
      </w:r>
    </w:p>
    <w:p>
      <w:pPr>
        <w:spacing w:after="0" w:line="129" w:lineRule="exact"/>
        <w:rPr>
          <w:rFonts w:ascii="Times New Roman" w:cs="Times New Roman" w:eastAsia="Times New Roman" w:hAnsi="Times New Roman"/>
          <w:sz w:val="13"/>
          <w:szCs w:val="13"/>
          <w:color w:val="auto"/>
        </w:rPr>
      </w:pPr>
    </w:p>
    <w:p>
      <w:pPr>
        <w:jc w:val="both"/>
        <w:ind w:left="980" w:hanging="495"/>
        <w:spacing w:after="0" w:line="278" w:lineRule="auto"/>
        <w:tabs>
          <w:tab w:leader="none" w:pos="9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enforcement or performance of any provision in the Indentures, the Warrant Agreements, the Subscription Rights Agreements and the Unit Agreements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w:t>
      </w:r>
      <w:r>
        <w:rPr>
          <w:rFonts w:ascii="Times New Roman" w:cs="Times New Roman" w:eastAsia="Times New Roman" w:hAnsi="Times New Roman"/>
          <w:sz w:val="13"/>
          <w:szCs w:val="13"/>
          <w:b w:val="1"/>
          <w:bCs w:val="1"/>
          <w:color w:val="auto"/>
        </w:rPr>
        <w:t>BOT Act</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jc w:val="both"/>
        <w:ind w:left="480" w:hanging="484"/>
        <w:spacing w:after="0" w:line="291" w:lineRule="auto"/>
        <w:tabs>
          <w:tab w:leader="none" w:pos="46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color w:val="auto"/>
        </w:rPr>
        <w:t>We express no opinion as to the meaning, validity or effect of any references to foreign (i.e. non-Cayman Islands) statutes, rules, regulations, codes, judicial authority or any other promulgations and any references to them in the Indentures or the Debt Securities, the Warrant Agreements or the Warrants, the Subscription Rights Agreements or the Subscription Rights or the Unit Agreements or the Units.</w:t>
      </w:r>
    </w:p>
    <w:p>
      <w:pPr>
        <w:spacing w:after="0" w:line="284" w:lineRule="exact"/>
        <w:rPr>
          <w:sz w:val="20"/>
          <w:szCs w:val="20"/>
          <w:color w:val="auto"/>
        </w:rPr>
      </w:pPr>
    </w:p>
    <w:p>
      <w:pPr>
        <w:jc w:val="both"/>
        <w:ind w:left="480" w:hanging="484"/>
        <w:spacing w:after="0" w:line="298" w:lineRule="auto"/>
        <w:tabs>
          <w:tab w:leader="none" w:pos="460"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color w:val="auto"/>
        </w:rPr>
        <w:t>We have not reviewed any of the Indentures or the Debt Securities to be issued thereunder, the Warrant Agreements or the Warrants to be issued thereunder, the Subscription Rights Agreements or the Subscription Rights to be issued thereunder or the Unit Agreements or the Units to be issued thereunder and our opinions are qualified accordingly.</w:t>
      </w:r>
    </w:p>
    <w:p>
      <w:pPr>
        <w:spacing w:after="0" w:line="113" w:lineRule="exact"/>
        <w:rPr>
          <w:sz w:val="20"/>
          <w:szCs w:val="20"/>
          <w:color w:val="auto"/>
        </w:rPr>
      </w:pPr>
    </w:p>
    <w:p>
      <w:pPr>
        <w:jc w:val="both"/>
        <w:ind w:left="480" w:hanging="484"/>
        <w:spacing w:after="0" w:line="269" w:lineRule="auto"/>
        <w:tabs>
          <w:tab w:leader="none" w:pos="460"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3"/>
          <w:szCs w:val="13"/>
          <w:color w:val="auto"/>
        </w:rPr>
        <w:t>We reserve our opinion as to the extent to which the courts of the Cayman Islands would, in the event of any relevant illegality or invalidity, sever the relevant provisions of the Indentures and the Debt Securities, the Warrant Agreements or the Warrants or the Subscription Rights Agreements or the Subscription Rights, or the Unit Agreements or the Units and enforce the remainder of the Indentures and the Debt Securities, the Warrant Agreements or the Warrants or the Subscription Rights Agreements or the Subscription Rights or the Unit Agreements or the Units or the transaction of which such provisions form a part, notwithstanding any express provisions in the Indentures or the Debt Securities, the Warrant Agreements or the Warrants, the Subscription Rights Agreements or the Subscription Rights or the Unit Agreements or the Units in this regard.</w:t>
      </w:r>
    </w:p>
    <w:p>
      <w:pPr>
        <w:spacing w:after="0" w:line="131" w:lineRule="exact"/>
        <w:rPr>
          <w:sz w:val="20"/>
          <w:szCs w:val="20"/>
          <w:color w:val="auto"/>
        </w:rPr>
      </w:pPr>
    </w:p>
    <w:p>
      <w:pPr>
        <w:jc w:val="both"/>
        <w:ind w:left="480" w:hanging="484"/>
        <w:spacing w:after="0" w:line="291" w:lineRule="auto"/>
        <w:tabs>
          <w:tab w:leader="none" w:pos="460" w:val="left"/>
        </w:tabs>
        <w:rPr>
          <w:sz w:val="20"/>
          <w:szCs w:val="20"/>
          <w:color w:val="auto"/>
        </w:rPr>
      </w:pPr>
      <w:r>
        <w:rPr>
          <w:rFonts w:ascii="Times New Roman" w:cs="Times New Roman" w:eastAsia="Times New Roman" w:hAnsi="Times New Roman"/>
          <w:sz w:val="13"/>
          <w:szCs w:val="13"/>
          <w:color w:val="auto"/>
        </w:rPr>
        <w:t>4.6</w:t>
      </w:r>
      <w:r>
        <w:rPr>
          <w:sz w:val="20"/>
          <w:szCs w:val="20"/>
          <w:color w:val="auto"/>
        </w:rPr>
        <w:tab/>
      </w:r>
      <w:r>
        <w:rPr>
          <w:rFonts w:ascii="Times New Roman" w:cs="Times New Roman" w:eastAsia="Times New Roman" w:hAnsi="Times New Roman"/>
          <w:sz w:val="13"/>
          <w:szCs w:val="13"/>
          <w:color w:val="auto"/>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284" w:lineRule="exact"/>
        <w:rPr>
          <w:sz w:val="20"/>
          <w:szCs w:val="20"/>
          <w:color w:val="auto"/>
        </w:rPr>
      </w:pPr>
    </w:p>
    <w:p>
      <w:pPr>
        <w:jc w:val="both"/>
        <w:ind w:left="480" w:hanging="484"/>
        <w:spacing w:after="0" w:line="272" w:lineRule="auto"/>
        <w:tabs>
          <w:tab w:leader="none" w:pos="460" w:val="left"/>
        </w:tabs>
        <w:rPr>
          <w:sz w:val="20"/>
          <w:szCs w:val="20"/>
          <w:color w:val="auto"/>
        </w:rPr>
      </w:pPr>
      <w:r>
        <w:rPr>
          <w:rFonts w:ascii="Times New Roman" w:cs="Times New Roman" w:eastAsia="Times New Roman" w:hAnsi="Times New Roman"/>
          <w:sz w:val="13"/>
          <w:szCs w:val="13"/>
          <w:color w:val="auto"/>
        </w:rPr>
        <w:t>4.7</w:t>
      </w:r>
      <w:r>
        <w:rPr>
          <w:sz w:val="20"/>
          <w:szCs w:val="20"/>
          <w:color w:val="auto"/>
        </w:rPr>
        <w:tab/>
      </w:r>
      <w:r>
        <w:rPr>
          <w:rFonts w:ascii="Times New Roman" w:cs="Times New Roman" w:eastAsia="Times New Roman" w:hAnsi="Times New Roman"/>
          <w:sz w:val="13"/>
          <w:szCs w:val="13"/>
          <w:color w:val="auto"/>
        </w:rPr>
        <w:t>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2" w:right="319" w:bottom="1440" w:gutter="0" w:footer="0" w:header="0"/>
        </w:sectPr>
      </w:pPr>
    </w:p>
    <w:bookmarkStart w:id="59" w:name="page60"/>
    <w:bookmarkEnd w:id="59"/>
    <w:p>
      <w:pPr>
        <w:jc w:val="both"/>
        <w:spacing w:after="0" w:line="298" w:lineRule="auto"/>
        <w:rPr>
          <w:sz w:val="20"/>
          <w:szCs w:val="20"/>
          <w:color w:val="auto"/>
        </w:rPr>
      </w:pPr>
      <w:r>
        <w:rPr>
          <w:rFonts w:ascii="Times New Roman" w:cs="Times New Roman" w:eastAsia="Times New Roman" w:hAnsi="Times New Roman"/>
          <w:sz w:val="13"/>
          <w:szCs w:val="13"/>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our name under the headings "Enforceability of Civil Liabilities", "Taxation"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Yours faithfully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Maples and Calder (Hong Kong)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Maples and Calder (Hong Kong) LLP</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2" w:right="319" w:bottom="1440" w:gutter="0" w:footer="0" w:header="0"/>
        </w:sectPr>
      </w:pPr>
    </w:p>
    <w:bookmarkStart w:id="60" w:name="page61"/>
    <w:bookmarkEnd w:id="60"/>
    <w:p>
      <w:pPr>
        <w:ind w:left="3900"/>
        <w:spacing w:after="0"/>
        <w:rPr>
          <w:sz w:val="20"/>
          <w:szCs w:val="20"/>
          <w:color w:val="auto"/>
        </w:rPr>
      </w:pPr>
      <w:r>
        <w:rPr>
          <w:rFonts w:ascii="Times New Roman" w:cs="Times New Roman" w:eastAsia="Times New Roman" w:hAnsi="Times New Roman"/>
          <w:sz w:val="13"/>
          <w:szCs w:val="13"/>
          <w:b w:val="1"/>
          <w:bCs w:val="1"/>
          <w:color w:val="auto"/>
        </w:rPr>
        <w:t>Director's Certificate</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15875</wp:posOffset>
            </wp:positionV>
            <wp:extent cx="716661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140"/>
          </w:cols>
          <w:pgMar w:left="1440" w:top="708"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3"/>
          <w:szCs w:val="13"/>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120650</wp:posOffset>
            </wp:positionV>
            <wp:extent cx="1852930" cy="3721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1852930" cy="37211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589280</wp:posOffset>
            </wp:positionV>
            <wp:extent cx="111760" cy="1104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111760" cy="11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line="159" w:lineRule="exact"/>
        <w:rPr>
          <w:sz w:val="20"/>
          <w:szCs w:val="20"/>
          <w:color w:val="auto"/>
        </w:rPr>
      </w:pPr>
      <w:r>
        <w:rPr>
          <w:rFonts w:ascii="SimSun" w:cs="SimSun" w:eastAsia="SimSun" w:hAnsi="SimSun"/>
          <w:sz w:val="13"/>
          <w:szCs w:val="13"/>
          <w:color w:val="auto"/>
        </w:rPr>
        <w:t>中国北京建国门外大街</w:t>
      </w:r>
      <w:r>
        <w:rPr>
          <w:rFonts w:ascii="Times New Roman" w:cs="Times New Roman" w:eastAsia="Times New Roman" w:hAnsi="Times New Roman"/>
          <w:sz w:val="13"/>
          <w:szCs w:val="13"/>
          <w:color w:val="auto"/>
        </w:rPr>
        <w:t>1</w:t>
      </w:r>
      <w:r>
        <w:rPr>
          <w:rFonts w:ascii="SimSun" w:cs="SimSun" w:eastAsia="SimSun" w:hAnsi="SimSun"/>
          <w:sz w:val="13"/>
          <w:szCs w:val="13"/>
          <w:color w:val="auto"/>
          <w:highlight w:val="black"/>
        </w:rPr>
        <w:t>号国贸写字楼</w:t>
      </w:r>
      <w:r>
        <w:rPr>
          <w:rFonts w:ascii="Times New Roman" w:cs="Times New Roman" w:eastAsia="Times New Roman" w:hAnsi="Times New Roman"/>
          <w:sz w:val="13"/>
          <w:szCs w:val="13"/>
          <w:color w:val="auto"/>
        </w:rPr>
        <w:t>2</w:t>
      </w:r>
      <w:r>
        <w:rPr>
          <w:rFonts w:ascii="SimSun" w:cs="SimSun" w:eastAsia="SimSun" w:hAnsi="SimSun"/>
          <w:sz w:val="13"/>
          <w:szCs w:val="13"/>
          <w:color w:val="auto"/>
        </w:rPr>
        <w:t>座</w:t>
      </w:r>
      <w:r>
        <w:rPr>
          <w:rFonts w:ascii="Times New Roman" w:cs="Times New Roman" w:eastAsia="Times New Roman" w:hAnsi="Times New Roman"/>
          <w:sz w:val="13"/>
          <w:szCs w:val="13"/>
          <w:color w:val="auto"/>
        </w:rPr>
        <w:t>12</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15</w:t>
      </w:r>
      <w:r>
        <w:rPr>
          <w:rFonts w:ascii="SimSun" w:cs="SimSun" w:eastAsia="SimSun" w:hAnsi="SimSun"/>
          <w:sz w:val="13"/>
          <w:szCs w:val="13"/>
          <w:color w:val="auto"/>
        </w:rPr>
        <w:t>层</w:t>
      </w:r>
      <w:r>
        <w:rPr>
          <w:rFonts w:ascii="Times New Roman" w:cs="Times New Roman" w:eastAsia="Times New Roman" w:hAnsi="Times New Roman"/>
          <w:sz w:val="13"/>
          <w:szCs w:val="13"/>
          <w:color w:val="auto"/>
        </w:rPr>
        <w:t>100004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-95250</wp:posOffset>
            </wp:positionV>
            <wp:extent cx="111760" cy="106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111760" cy="1060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color w:val="auto"/>
        </w:rPr>
        <w:t>12-15th Floor, China World Office 2, No. 1 Jianguomenwai Avenue, Beijing 100004,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10795</wp:posOffset>
            </wp:positionV>
            <wp:extent cx="196215" cy="113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196215" cy="113030"/>
                    </a:xfrm>
                    <a:prstGeom prst="rect">
                      <a:avLst/>
                    </a:prstGeom>
                    <a:noFill/>
                  </pic:spPr>
                </pic:pic>
              </a:graphicData>
            </a:graphic>
          </wp:anchor>
        </w:drawing>
      </w:r>
    </w:p>
    <w:p>
      <w:pPr>
        <w:spacing w:after="0" w:line="2" w:lineRule="exact"/>
        <w:rPr>
          <w:sz w:val="20"/>
          <w:szCs w:val="20"/>
          <w:color w:val="auto"/>
        </w:rPr>
      </w:pPr>
    </w:p>
    <w:p>
      <w:pPr>
        <w:jc w:val="center"/>
        <w:spacing w:after="0" w:line="159" w:lineRule="exact"/>
        <w:rPr>
          <w:sz w:val="20"/>
          <w:szCs w:val="20"/>
          <w:color w:val="auto"/>
        </w:rPr>
      </w:pPr>
      <w:r>
        <w:rPr>
          <w:rFonts w:ascii="SimSun" w:cs="SimSun" w:eastAsia="SimSun" w:hAnsi="SimSun"/>
          <w:sz w:val="13"/>
          <w:szCs w:val="13"/>
          <w:color w:val="auto"/>
          <w:highlight w:val="black"/>
        </w:rPr>
        <w:t>电话</w:t>
      </w:r>
      <w:r>
        <w:rPr>
          <w:rFonts w:ascii="Times New Roman" w:cs="Times New Roman" w:eastAsia="Times New Roman" w:hAnsi="Times New Roman"/>
          <w:sz w:val="13"/>
          <w:szCs w:val="13"/>
          <w:color w:val="auto"/>
        </w:rPr>
        <w:t xml:space="preserve"> Tel: +86 10 6563 7181 </w:t>
      </w:r>
      <w:r>
        <w:rPr>
          <w:rFonts w:ascii="SimSun" w:cs="SimSun" w:eastAsia="SimSun" w:hAnsi="SimSun"/>
          <w:sz w:val="13"/>
          <w:szCs w:val="13"/>
          <w:color w:val="auto"/>
        </w:rPr>
        <w:t>传真</w:t>
      </w:r>
      <w:r>
        <w:rPr>
          <w:rFonts w:ascii="Times New Roman" w:cs="Times New Roman" w:eastAsia="Times New Roman" w:hAnsi="Times New Roman"/>
          <w:sz w:val="13"/>
          <w:szCs w:val="13"/>
          <w:color w:val="auto"/>
        </w:rPr>
        <w:t xml:space="preserve"> Fax: +86 10 6569 3838</w:t>
      </w:r>
    </w:p>
    <w:p>
      <w:pPr>
        <w:spacing w:after="0" w:line="21" w:lineRule="exact"/>
        <w:rPr>
          <w:sz w:val="20"/>
          <w:szCs w:val="20"/>
          <w:color w:val="auto"/>
        </w:rPr>
      </w:pPr>
    </w:p>
    <w:p>
      <w:pPr>
        <w:jc w:val="center"/>
        <w:spacing w:after="0" w:line="159" w:lineRule="exact"/>
        <w:rPr>
          <w:sz w:val="20"/>
          <w:szCs w:val="20"/>
          <w:color w:val="auto"/>
        </w:rPr>
      </w:pPr>
      <w:r>
        <w:rPr>
          <w:rFonts w:ascii="SimSun" w:cs="SimSun" w:eastAsia="SimSun" w:hAnsi="SimSun"/>
          <w:sz w:val="13"/>
          <w:szCs w:val="13"/>
          <w:color w:val="auto"/>
          <w:highlight w:val="black"/>
        </w:rPr>
        <w:t>电邮</w:t>
      </w:r>
      <w:r>
        <w:rPr>
          <w:rFonts w:ascii="Times New Roman" w:cs="Times New Roman" w:eastAsia="Times New Roman" w:hAnsi="Times New Roman"/>
          <w:sz w:val="13"/>
          <w:szCs w:val="13"/>
          <w:color w:val="auto"/>
        </w:rPr>
        <w:t xml:space="preserve"> Email: beijing@tongshang.com </w:t>
      </w:r>
      <w:r>
        <w:rPr>
          <w:rFonts w:ascii="SimSun" w:cs="SimSun" w:eastAsia="SimSun" w:hAnsi="SimSun"/>
          <w:sz w:val="13"/>
          <w:szCs w:val="13"/>
          <w:color w:val="auto"/>
          <w:highlight w:val="black"/>
        </w:rPr>
        <w:t>网址</w:t>
      </w:r>
      <w:r>
        <w:rPr>
          <w:rFonts w:ascii="Times New Roman" w:cs="Times New Roman" w:eastAsia="Times New Roman" w:hAnsi="Times New Roman"/>
          <w:sz w:val="13"/>
          <w:szCs w:val="13"/>
          <w:color w:val="auto"/>
        </w:rPr>
        <w:t xml:space="preserve"> Web: www.tongshang.com</w:t>
      </w:r>
    </w:p>
    <w:p>
      <w:pPr>
        <w:spacing w:after="0" w:line="181"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3"/>
          <w:szCs w:val="13"/>
          <w:b w:val="1"/>
          <w:bCs w:val="1"/>
          <w:color w:val="auto"/>
        </w:rPr>
        <w:t>To</w:t>
      </w:r>
      <w:r>
        <w:rPr>
          <w:rFonts w:ascii="SimSun" w:cs="SimSun" w:eastAsia="SimSun" w:hAnsi="SimSun"/>
          <w:sz w:val="13"/>
          <w:szCs w:val="13"/>
          <w:color w:val="auto"/>
        </w:rPr>
        <w:t>：</w:t>
      </w:r>
      <w:r>
        <w:rPr>
          <w:rFonts w:ascii="Times New Roman" w:cs="Times New Roman" w:eastAsia="Times New Roman" w:hAnsi="Times New Roman"/>
          <w:sz w:val="13"/>
          <w:szCs w:val="13"/>
          <w:b w:val="1"/>
          <w:bCs w:val="1"/>
          <w:color w:val="auto"/>
        </w:rPr>
        <w:t>Canaan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-71755</wp:posOffset>
            </wp:positionV>
            <wp:extent cx="38735" cy="723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38735" cy="723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People's Republic of China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 Tax Matters in connection with the Offering of Canaan Inc.</w:t>
      </w:r>
    </w:p>
    <w:p>
      <w:pPr>
        <w:spacing w:after="0" w:line="178"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3"/>
          <w:szCs w:val="13"/>
          <w:color w:val="auto"/>
        </w:rPr>
        <w:t>April 15,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Dear Sirs,</w:t>
      </w:r>
    </w:p>
    <w:p>
      <w:pPr>
        <w:spacing w:after="0" w:line="17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3"/>
          <w:szCs w:val="13"/>
          <w:color w:val="auto"/>
        </w:rPr>
        <w:t>We are qualified lawyers of the People’s Republic of China (the “</w:t>
      </w:r>
      <w:r>
        <w:rPr>
          <w:rFonts w:ascii="Times New Roman" w:cs="Times New Roman" w:eastAsia="Times New Roman" w:hAnsi="Times New Roman"/>
          <w:sz w:val="13"/>
          <w:szCs w:val="13"/>
          <w:b w:val="1"/>
          <w:bCs w:val="1"/>
          <w:color w:val="auto"/>
        </w:rPr>
        <w:t>PRC</w:t>
      </w:r>
      <w:r>
        <w:rPr>
          <w:rFonts w:ascii="Times New Roman" w:cs="Times New Roman" w:eastAsia="Times New Roman" w:hAnsi="Times New Roman"/>
          <w:sz w:val="13"/>
          <w:szCs w:val="13"/>
          <w:color w:val="auto"/>
        </w:rPr>
        <w:t>”, for the purpose of this opinion, excluding the Hong Kong Special Administrative Region, Macao Special Administrative Region and the region of Taiwan) and as such are qualified to issue legal opinions on the PRC laws, regulations or rules effective on the date hereof (the “</w:t>
      </w:r>
      <w:r>
        <w:rPr>
          <w:rFonts w:ascii="Times New Roman" w:cs="Times New Roman" w:eastAsia="Times New Roman" w:hAnsi="Times New Roman"/>
          <w:sz w:val="13"/>
          <w:szCs w:val="13"/>
          <w:b w:val="1"/>
          <w:bCs w:val="1"/>
          <w:color w:val="auto"/>
        </w:rPr>
        <w:t>PRC Laws</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We are acting as the PRC counsel to Canaan Inc.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 company incorporated under the laws of the Cayman Islands in connection with the Company’s registration statement on Form F-3, including all amendments or supplements thereto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filed by the Company with the U.S.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under the U.S. Securities Act of 1933, as amended in relation to the offering (the “</w:t>
      </w:r>
      <w:r>
        <w:rPr>
          <w:rFonts w:ascii="Times New Roman" w:cs="Times New Roman" w:eastAsia="Times New Roman" w:hAnsi="Times New Roman"/>
          <w:sz w:val="13"/>
          <w:szCs w:val="13"/>
          <w:b w:val="1"/>
          <w:bCs w:val="1"/>
          <w:color w:val="auto"/>
        </w:rPr>
        <w:t>Offering</w:t>
      </w:r>
      <w:r>
        <w:rPr>
          <w:rFonts w:ascii="Times New Roman" w:cs="Times New Roman" w:eastAsia="Times New Roman" w:hAnsi="Times New Roman"/>
          <w:sz w:val="13"/>
          <w:szCs w:val="13"/>
          <w:color w:val="auto"/>
        </w:rPr>
        <w:t xml:space="preserve">”) by the Company of (i) preferred shares, (ii) warrants, (iii) subscription rights and/or (iv) units, (v) debt securities, and (vi) Class A ordinary shares, including Class A ordinary shares represented by American depositary shares (the </w:t>
      </w:r>
      <w:r>
        <w:rPr>
          <w:rFonts w:ascii="Times New Roman" w:cs="Times New Roman" w:eastAsia="Times New Roman" w:hAnsi="Times New Roman"/>
          <w:sz w:val="13"/>
          <w:szCs w:val="13"/>
          <w:b w:val="1"/>
          <w:bCs w:val="1"/>
          <w:color w:val="auto"/>
        </w:rPr>
        <w:t>“ADSs</w:t>
      </w:r>
      <w:r>
        <w:rPr>
          <w:rFonts w:ascii="Times New Roman" w:cs="Times New Roman" w:eastAsia="Times New Roman" w:hAnsi="Times New Roman"/>
          <w:sz w:val="13"/>
          <w:szCs w:val="13"/>
          <w:color w:val="auto"/>
        </w:rPr>
        <w:t>”), with each ADS representing 15 Class A ordinary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legal opinion (the “</w:t>
      </w:r>
      <w:r>
        <w:rPr>
          <w:rFonts w:ascii="Times New Roman" w:cs="Times New Roman" w:eastAsia="Times New Roman" w:hAnsi="Times New Roman"/>
          <w:sz w:val="13"/>
          <w:szCs w:val="13"/>
          <w:b w:val="1"/>
          <w:bCs w:val="1"/>
          <w:color w:val="auto"/>
        </w:rPr>
        <w:t>Opinion</w:t>
      </w:r>
      <w:r>
        <w:rPr>
          <w:rFonts w:ascii="Times New Roman" w:cs="Times New Roman" w:eastAsia="Times New Roman" w:hAnsi="Times New Roman"/>
          <w:sz w:val="13"/>
          <w:szCs w:val="13"/>
          <w:color w:val="auto"/>
        </w:rPr>
        <w:t>”) is furnished pursuant to the instructions of the Company on the captioned matters, and is delivered to the Company for the purposes of the Offering.</w:t>
      </w:r>
    </w:p>
    <w:p>
      <w:pPr>
        <w:spacing w:after="0" w:line="1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In so acting, we have examined the Registration Statement, the originals or copies, certified or otherwise identified to our satisfaction, of documents provided to us by the Company and Operating Subsidiaries, as defined below, and such other documents, corporate records, certificates issued by PRC governmental authorities and officers of the Company and other instruments as we have deemed necessary or advisable for the purposes of rendering this Opinion (the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716661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62" w:name="page63"/>
    <w:bookmarkEnd w:id="62"/>
    <w:p>
      <w:pPr>
        <w:jc w:val="both"/>
        <w:spacing w:after="0" w:line="26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191135</wp:posOffset>
            </wp:positionH>
            <wp:positionV relativeFrom="page">
              <wp:posOffset>461010</wp:posOffset>
            </wp:positionV>
            <wp:extent cx="1096010" cy="281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096010" cy="281940"/>
                    </a:xfrm>
                    <a:prstGeom prst="rect">
                      <a:avLst/>
                    </a:prstGeom>
                    <a:noFill/>
                  </pic:spPr>
                </pic:pic>
              </a:graphicData>
            </a:graphic>
          </wp:anchor>
        </w:drawing>
        <w:t>In our examination and for purpose of rendering this Opinion, we have assumed without further inquiry, (a) the genuineness of all the signatures, seals and chops, the authenticity of the Documents submitted to us as original and the conformity with authentic original documents submitted to us as copies and the authenticity of such originals; (b) the truthfulness, accuracy and completeness of the Documents, as well as the factual statements contained in the Documents; (c) that the Documents provided to us remain in full force and effect up to the date of this Opinion and that none of the Documents has been revoked, amended, varied or supplemented except as otherwise indicated in such documents; (d) that information provided to us by the Company and PRC Operating Subsidiaries, as defined below, in response to our enquiries for the purpose of this Opinion is true, accurate, complete and not misleading, and that the Company and PRC Operating Subsidiaries have not withheld anything that, if disclosed to us, would reasonably cause us to alter this Opinion in whole or in part; (e) that all Governmental Authorizations, as defined below, and other official statement or documentation are obtained by lawful means in due course; (f) that each of the parties other than PRC Operating Subsidiaries is duly organized and is validly existing in good standing under the laws of its jurisdiction of organization and/or incorporation (as the case may be); (g) that all parties other than the PRC Operating Subsidiaries have the requisite power and authority to enter into, execute, deliver and perform all the Documents to which they are parties and have duly executed, delivered, performed, and will duly perform their obligations under all the Documents to which they are parties; and (h) that all documents submitted to us are legal, valid, binding and enforceable under all such laws as govern or relate to them other than PRC Laws.</w:t>
      </w:r>
    </w:p>
    <w:p>
      <w:pPr>
        <w:spacing w:after="0" w:line="13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For the purpose of rendering this Opinion, where important facts were not independently established to us, we have relied upon certificates issued by the governmental authorities and representatives of the Company and PRC Operating Subsidiaries with proper authority and upon representations, made in or pursuant to the Documents.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terms used in this Opinion are defined as follows: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Agencies</w:t>
      </w:r>
      <w:r>
        <w:rPr>
          <w:rFonts w:ascii="Times New Roman" w:cs="Times New Roman" w:eastAsia="Times New Roman" w:hAnsi="Times New Roman"/>
          <w:sz w:val="13"/>
          <w:szCs w:val="13"/>
          <w:color w:val="auto"/>
        </w:rPr>
        <w:t>” means any national, provincial or local court, governmental agency or body, stock exchange authorities or any other regulator in the PRC;</w:t>
      </w:r>
    </w:p>
    <w:p>
      <w:pPr>
        <w:spacing w:after="0" w:line="17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Authorizations</w:t>
      </w:r>
      <w:r>
        <w:rPr>
          <w:rFonts w:ascii="Times New Roman" w:cs="Times New Roman" w:eastAsia="Times New Roman" w:hAnsi="Times New Roman"/>
          <w:sz w:val="13"/>
          <w:szCs w:val="13"/>
          <w:color w:val="auto"/>
        </w:rPr>
        <w:t>” means licenses, consents, authorizations, sanctions, permissions, declarations, approvals, orders, registrations, clearances, annual inspections, waivers, qualifications, certificates and permits from, and the reports to and filings with, Governmental Agencies pursuant to any applicable PRC Laws;</w:t>
      </w:r>
    </w:p>
    <w:p>
      <w:pPr>
        <w:spacing w:after="0" w:line="10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Operating Subsidiaries</w:t>
      </w:r>
      <w:r>
        <w:rPr>
          <w:rFonts w:ascii="Times New Roman" w:cs="Times New Roman" w:eastAsia="Times New Roman" w:hAnsi="Times New Roman"/>
          <w:sz w:val="13"/>
          <w:szCs w:val="13"/>
          <w:color w:val="auto"/>
        </w:rPr>
        <w:t>” means Canaan Creative Co., Ltd., Langfang Creative Technology Co., Ltd., Canaan Convey Co., Ltd., Zhejiang Avalon Technology Co., Ltd., Canaan Creative (SH) Co., Ltd., Canaan Creative International PTE. Ltd., Canaan Creative Global Pte. Ltd., and Canaan U.S. Inc.</w:t>
      </w:r>
    </w:p>
    <w:p>
      <w:pPr>
        <w:spacing w:after="0" w:line="1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PRC Operating Subsidiaries</w:t>
      </w:r>
      <w:r>
        <w:rPr>
          <w:rFonts w:ascii="Times New Roman" w:cs="Times New Roman" w:eastAsia="Times New Roman" w:hAnsi="Times New Roman"/>
          <w:sz w:val="13"/>
          <w:szCs w:val="13"/>
          <w:color w:val="auto"/>
        </w:rPr>
        <w:t>” means Canaan Creative Co., Ltd., Langfang Creative Technology Co., Ltd., Canaan Convey Co., Ltd., Zhejiang Avalon Technology Co., Ltd. and Canaan Creative (SH) Co., Ltd.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Opinion is subject to the following qualifications:</w:t>
      </w:r>
    </w:p>
    <w:p>
      <w:pPr>
        <w:spacing w:after="0" w:line="174" w:lineRule="exact"/>
        <w:rPr>
          <w:sz w:val="20"/>
          <w:szCs w:val="20"/>
          <w:color w:val="auto"/>
        </w:rPr>
      </w:pPr>
    </w:p>
    <w:p>
      <w:pPr>
        <w:ind w:left="560" w:hanging="317"/>
        <w:spacing w:after="0"/>
        <w:tabs>
          <w:tab w:leader="none" w:pos="5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Opinion is rendered only with respect to the PRC Laws and we express no opinion as to the laws and regulations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336550</wp:posOffset>
            </wp:positionV>
            <wp:extent cx="716661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63" w:name="page64"/>
    <w:bookmarkEnd w:id="63"/>
    <w:p>
      <w:pPr>
        <w:ind w:left="560" w:hanging="317"/>
        <w:spacing w:after="0" w:line="298" w:lineRule="auto"/>
        <w:tabs>
          <w:tab w:leader="none" w:pos="5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191135</wp:posOffset>
            </wp:positionH>
            <wp:positionV relativeFrom="page">
              <wp:posOffset>460375</wp:posOffset>
            </wp:positionV>
            <wp:extent cx="1096010" cy="281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096010" cy="281940"/>
                    </a:xfrm>
                    <a:prstGeom prst="rect">
                      <a:avLst/>
                    </a:prstGeom>
                    <a:noFill/>
                  </pic:spPr>
                </pic:pic>
              </a:graphicData>
            </a:graphic>
          </wp:anchor>
        </w:drawing>
        <w:t>This Opinion relates only to the PRC Laws in effect on the date hereof and there is no guarantee that any of such PRC Laws, or the interpretation thereof or enforcement therefor, will not be changed, amended or revoked in the immediate future or in the longer term with or without retroactive effect.</w:t>
      </w:r>
    </w:p>
    <w:p>
      <w:pPr>
        <w:spacing w:after="0" w:line="113" w:lineRule="exact"/>
        <w:rPr>
          <w:rFonts w:ascii="Times New Roman" w:cs="Times New Roman" w:eastAsia="Times New Roman" w:hAnsi="Times New Roman"/>
          <w:sz w:val="13"/>
          <w:szCs w:val="13"/>
          <w:color w:val="auto"/>
        </w:rPr>
      </w:pPr>
    </w:p>
    <w:p>
      <w:pPr>
        <w:ind w:left="560" w:hanging="317"/>
        <w:spacing w:after="0" w:line="298" w:lineRule="auto"/>
        <w:tabs>
          <w:tab w:leader="none" w:pos="5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Opinion is subject to the discretion of any competent Governmental Agencies in exercising their authority in the PRC in connection with the interpretation, implementation and application of relevant PRC Laws.</w:t>
      </w:r>
    </w:p>
    <w:p>
      <w:pPr>
        <w:spacing w:after="0" w:line="113" w:lineRule="exact"/>
        <w:rPr>
          <w:rFonts w:ascii="Times New Roman" w:cs="Times New Roman" w:eastAsia="Times New Roman" w:hAnsi="Times New Roman"/>
          <w:sz w:val="13"/>
          <w:szCs w:val="13"/>
          <w:color w:val="auto"/>
        </w:rPr>
      </w:pPr>
    </w:p>
    <w:p>
      <w:pPr>
        <w:ind w:left="560" w:hanging="317"/>
        <w:spacing w:after="0" w:line="298" w:lineRule="auto"/>
        <w:tabs>
          <w:tab w:leader="none" w:pos="5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Opinion is intended to be used in the context which is specifically referred to herein, and each paragraph should be looked at as a whole regarding the same subject matter and no part should be extracted for interpretation separately from this Opinion.</w:t>
      </w:r>
    </w:p>
    <w:p>
      <w:pPr>
        <w:spacing w:after="0" w:line="113" w:lineRule="exact"/>
        <w:rPr>
          <w:rFonts w:ascii="Times New Roman" w:cs="Times New Roman" w:eastAsia="Times New Roman" w:hAnsi="Times New Roman"/>
          <w:sz w:val="13"/>
          <w:szCs w:val="13"/>
          <w:color w:val="auto"/>
        </w:rPr>
      </w:pPr>
    </w:p>
    <w:p>
      <w:pPr>
        <w:jc w:val="both"/>
        <w:ind w:left="560" w:hanging="317"/>
        <w:spacing w:after="0" w:line="265" w:lineRule="auto"/>
        <w:tabs>
          <w:tab w:leader="none" w:pos="5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Opinion is, in so far as it relates to the validity, effectiveness and enforceability, subject to (i) any applicable bankruptcy, insolvency, fraudulent transfer, reorganization, moratorium or similar laws affecting creditors’ rights generally; (ii) possible judicial or administrative actions or any laws affecting creditors’ rights generally; (iii) certain legal or statutory principles affecting the enforceability of contractual rights generally under concepts of public interest, state interest, national security, reasonableness, good faith and fair dealing, and applicable statutes of limitation; (iv) any circumstance in connection with formulation, execution or implementation of any legal documents that would be deemed materially mistaken, clearly unconscionable, unlawful, fraudulent, coercionary at the conclusions thereof; (v) judicial discretion with respect to the availability of injunctive relief, the calculation of damages, the availability of indemnifications, remedies or defenses, the calculation of damages, the entitlement to attorney’s fees and other costs, the waiver of immunity from jurisdiction of any court or from legal process, and (iv) the discretion of any competent PRC legislative, administrative or judicial bodies in exercising their authority in connection with the interpretation, implementation and application of relevant laws regulations and policies in the PRC.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on the foregoing and subject to the qualifications set out above, as of the issuance date of this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are of the opinion that, the discussions of PRC taxation in the Registration Statement are true and accurate based on the PRC Laws.</w:t>
      </w:r>
    </w:p>
    <w:p>
      <w:pPr>
        <w:spacing w:after="0" w:line="17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color w:val="auto"/>
        </w:rPr>
        <w:t>This Opinion is rendered to you for the purpose hereof only, and save as provided herein, the Opinion shall not be quoted nor shall a copy be given to any person (apart from the addressee) without our express prior written consent.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336550</wp:posOffset>
            </wp:positionV>
            <wp:extent cx="716661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191135</wp:posOffset>
            </wp:positionH>
            <wp:positionV relativeFrom="page">
              <wp:posOffset>461010</wp:posOffset>
            </wp:positionV>
            <wp:extent cx="1096010" cy="281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096010" cy="281940"/>
                    </a:xfrm>
                    <a:prstGeom prst="rect">
                      <a:avLst/>
                    </a:prstGeom>
                    <a:noFill/>
                  </pic:spPr>
                </pic:pic>
              </a:graphicData>
            </a:graphic>
          </wp:anchor>
        </w:drawing>
        <w:t>Yours sincerely,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/s/Commerce &amp; Finance Law Offices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35833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358330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334645</wp:posOffset>
            </wp:positionV>
            <wp:extent cx="716661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159"/>
          </w:cols>
          <w:pgMar w:left="300" w:top="1318"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8"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3"/>
          <w:szCs w:val="13"/>
          <w:color w:val="auto"/>
        </w:rPr>
        <w:t>We consent to the use of our report dated April 18, 2025, with respect to the consolidated financial statements of Canaan Inc., and the effectiveness of internal control over financial reporting, incorporated herein by reference and to the reference to our firm under the heading “Experts” in the prospectus.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KPMG Huazhen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Beijing, China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328295</wp:posOffset>
            </wp:positionV>
            <wp:extent cx="716661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6"/>
          <w:szCs w:val="16"/>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128270</wp:posOffset>
            </wp:positionV>
            <wp:extent cx="1865630" cy="358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1865630" cy="35877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583565</wp:posOffset>
            </wp:positionV>
            <wp:extent cx="111760" cy="1104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111760" cy="11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line="159" w:lineRule="exact"/>
        <w:rPr>
          <w:sz w:val="20"/>
          <w:szCs w:val="20"/>
          <w:color w:val="auto"/>
        </w:rPr>
      </w:pPr>
      <w:r>
        <w:rPr>
          <w:rFonts w:ascii="SimSun" w:cs="SimSun" w:eastAsia="SimSun" w:hAnsi="SimSun"/>
          <w:sz w:val="13"/>
          <w:szCs w:val="13"/>
          <w:color w:val="auto"/>
        </w:rPr>
        <w:t>中国北京建国门外大街</w:t>
      </w:r>
      <w:r>
        <w:rPr>
          <w:rFonts w:ascii="Times New Roman" w:cs="Times New Roman" w:eastAsia="Times New Roman" w:hAnsi="Times New Roman"/>
          <w:sz w:val="13"/>
          <w:szCs w:val="13"/>
          <w:color w:val="auto"/>
        </w:rPr>
        <w:t>1</w:t>
      </w:r>
      <w:r>
        <w:rPr>
          <w:rFonts w:ascii="SimSun" w:cs="SimSun" w:eastAsia="SimSun" w:hAnsi="SimSun"/>
          <w:sz w:val="13"/>
          <w:szCs w:val="13"/>
          <w:color w:val="auto"/>
          <w:highlight w:val="black"/>
        </w:rPr>
        <w:t>号国贸写字楼</w:t>
      </w:r>
      <w:r>
        <w:rPr>
          <w:rFonts w:ascii="Times New Roman" w:cs="Times New Roman" w:eastAsia="Times New Roman" w:hAnsi="Times New Roman"/>
          <w:sz w:val="13"/>
          <w:szCs w:val="13"/>
          <w:color w:val="auto"/>
        </w:rPr>
        <w:t>2</w:t>
      </w:r>
      <w:r>
        <w:rPr>
          <w:rFonts w:ascii="SimSun" w:cs="SimSun" w:eastAsia="SimSun" w:hAnsi="SimSun"/>
          <w:sz w:val="13"/>
          <w:szCs w:val="13"/>
          <w:color w:val="auto"/>
        </w:rPr>
        <w:t>座</w:t>
      </w:r>
      <w:r>
        <w:rPr>
          <w:rFonts w:ascii="Times New Roman" w:cs="Times New Roman" w:eastAsia="Times New Roman" w:hAnsi="Times New Roman"/>
          <w:sz w:val="13"/>
          <w:szCs w:val="13"/>
          <w:color w:val="auto"/>
        </w:rPr>
        <w:t>12</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15</w:t>
      </w:r>
      <w:r>
        <w:rPr>
          <w:rFonts w:ascii="SimSun" w:cs="SimSun" w:eastAsia="SimSun" w:hAnsi="SimSun"/>
          <w:sz w:val="13"/>
          <w:szCs w:val="13"/>
          <w:color w:val="auto"/>
        </w:rPr>
        <w:t>层</w:t>
      </w:r>
      <w:r>
        <w:rPr>
          <w:rFonts w:ascii="Times New Roman" w:cs="Times New Roman" w:eastAsia="Times New Roman" w:hAnsi="Times New Roman"/>
          <w:sz w:val="13"/>
          <w:szCs w:val="13"/>
          <w:color w:val="auto"/>
        </w:rPr>
        <w:t>100004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-95250</wp:posOffset>
            </wp:positionV>
            <wp:extent cx="111760" cy="106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11760" cy="1060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color w:val="auto"/>
        </w:rPr>
        <w:t>12-15th Floor, China World Office 2, No. 1 Jianguomenwai Avenue, Beijing 100004,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10795</wp:posOffset>
            </wp:positionV>
            <wp:extent cx="196215" cy="113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96215" cy="113030"/>
                    </a:xfrm>
                    <a:prstGeom prst="rect">
                      <a:avLst/>
                    </a:prstGeom>
                    <a:noFill/>
                  </pic:spPr>
                </pic:pic>
              </a:graphicData>
            </a:graphic>
          </wp:anchor>
        </w:drawing>
      </w:r>
    </w:p>
    <w:p>
      <w:pPr>
        <w:spacing w:after="0" w:line="2" w:lineRule="exact"/>
        <w:rPr>
          <w:sz w:val="20"/>
          <w:szCs w:val="20"/>
          <w:color w:val="auto"/>
        </w:rPr>
      </w:pPr>
    </w:p>
    <w:p>
      <w:pPr>
        <w:jc w:val="center"/>
        <w:spacing w:after="0" w:line="159" w:lineRule="exact"/>
        <w:rPr>
          <w:sz w:val="20"/>
          <w:szCs w:val="20"/>
          <w:color w:val="auto"/>
        </w:rPr>
      </w:pPr>
      <w:r>
        <w:rPr>
          <w:rFonts w:ascii="SimSun" w:cs="SimSun" w:eastAsia="SimSun" w:hAnsi="SimSun"/>
          <w:sz w:val="13"/>
          <w:szCs w:val="13"/>
          <w:color w:val="auto"/>
          <w:highlight w:val="black"/>
        </w:rPr>
        <w:t>电话</w:t>
      </w:r>
      <w:r>
        <w:rPr>
          <w:rFonts w:ascii="Times New Roman" w:cs="Times New Roman" w:eastAsia="Times New Roman" w:hAnsi="Times New Roman"/>
          <w:sz w:val="13"/>
          <w:szCs w:val="13"/>
          <w:color w:val="auto"/>
        </w:rPr>
        <w:t xml:space="preserve"> Tel: +86 10 6563 7181 </w:t>
      </w:r>
      <w:r>
        <w:rPr>
          <w:rFonts w:ascii="SimSun" w:cs="SimSun" w:eastAsia="SimSun" w:hAnsi="SimSun"/>
          <w:sz w:val="13"/>
          <w:szCs w:val="13"/>
          <w:color w:val="auto"/>
        </w:rPr>
        <w:t>传真</w:t>
      </w:r>
      <w:r>
        <w:rPr>
          <w:rFonts w:ascii="Times New Roman" w:cs="Times New Roman" w:eastAsia="Times New Roman" w:hAnsi="Times New Roman"/>
          <w:sz w:val="13"/>
          <w:szCs w:val="13"/>
          <w:color w:val="auto"/>
        </w:rPr>
        <w:t xml:space="preserve"> Fax: +86 10 6569 3838</w:t>
      </w:r>
    </w:p>
    <w:p>
      <w:pPr>
        <w:spacing w:after="0" w:line="21" w:lineRule="exact"/>
        <w:rPr>
          <w:sz w:val="20"/>
          <w:szCs w:val="20"/>
          <w:color w:val="auto"/>
        </w:rPr>
      </w:pPr>
    </w:p>
    <w:p>
      <w:pPr>
        <w:jc w:val="center"/>
        <w:spacing w:after="0" w:line="159" w:lineRule="exact"/>
        <w:rPr>
          <w:sz w:val="20"/>
          <w:szCs w:val="20"/>
          <w:color w:val="auto"/>
        </w:rPr>
      </w:pPr>
      <w:r>
        <w:rPr>
          <w:rFonts w:ascii="SimSun" w:cs="SimSun" w:eastAsia="SimSun" w:hAnsi="SimSun"/>
          <w:sz w:val="13"/>
          <w:szCs w:val="13"/>
          <w:color w:val="auto"/>
          <w:highlight w:val="black"/>
        </w:rPr>
        <w:t>电邮</w:t>
      </w:r>
      <w:r>
        <w:rPr>
          <w:rFonts w:ascii="Times New Roman" w:cs="Times New Roman" w:eastAsia="Times New Roman" w:hAnsi="Times New Roman"/>
          <w:sz w:val="13"/>
          <w:szCs w:val="13"/>
          <w:color w:val="auto"/>
        </w:rPr>
        <w:t xml:space="preserve"> Email: beijing@tongshang.com </w:t>
      </w:r>
      <w:r>
        <w:rPr>
          <w:rFonts w:ascii="SimSun" w:cs="SimSun" w:eastAsia="SimSun" w:hAnsi="SimSun"/>
          <w:sz w:val="13"/>
          <w:szCs w:val="13"/>
          <w:color w:val="auto"/>
          <w:highlight w:val="black"/>
        </w:rPr>
        <w:t>网址</w:t>
      </w:r>
      <w:r>
        <w:rPr>
          <w:rFonts w:ascii="Times New Roman" w:cs="Times New Roman" w:eastAsia="Times New Roman" w:hAnsi="Times New Roman"/>
          <w:sz w:val="13"/>
          <w:szCs w:val="13"/>
          <w:color w:val="auto"/>
        </w:rPr>
        <w:t xml:space="preserve"> Web: www.tongshang.com</w:t>
      </w:r>
    </w:p>
    <w:p>
      <w:pPr>
        <w:spacing w:after="0" w:line="181"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3"/>
          <w:szCs w:val="13"/>
          <w:b w:val="1"/>
          <w:bCs w:val="1"/>
          <w:color w:val="auto"/>
        </w:rPr>
        <w:t>To</w:t>
      </w:r>
      <w:r>
        <w:rPr>
          <w:rFonts w:ascii="SimSun" w:cs="SimSun" w:eastAsia="SimSun" w:hAnsi="SimSun"/>
          <w:sz w:val="13"/>
          <w:szCs w:val="13"/>
          <w:color w:val="auto"/>
        </w:rPr>
        <w:t>：</w:t>
      </w:r>
      <w:r>
        <w:rPr>
          <w:rFonts w:ascii="Times New Roman" w:cs="Times New Roman" w:eastAsia="Times New Roman" w:hAnsi="Times New Roman"/>
          <w:sz w:val="13"/>
          <w:szCs w:val="13"/>
          <w:b w:val="1"/>
          <w:bCs w:val="1"/>
          <w:color w:val="auto"/>
        </w:rPr>
        <w:t>Canaan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-71755</wp:posOffset>
            </wp:positionV>
            <wp:extent cx="38735" cy="723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38735" cy="723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People's Republic of China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 Consent of People’s Republic of China Counsel</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April 15,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Dear Sirs,</w:t>
      </w:r>
    </w:p>
    <w:p>
      <w:pPr>
        <w:spacing w:after="0" w:line="1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We consent to the reference to our firm under the headings “ENFORCEABILITY OF CIVIL LIABILITIES” and “LEGAL MATTERS” in the registration statement on Form F-3, including all amendments or supplements thereto, of Canaan Inc. to be filed with the Securities and Exchange Commission. In giving this consent we do not admit that we are within the category of persons whose consent is required under Section 7 of the Securities Act of 1933, as amended.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336550</wp:posOffset>
            </wp:positionV>
            <wp:extent cx="716661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color w:val="auto"/>
        </w:rPr>
        <w:t>Yours sincerely,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/s/Commerce &amp; Finance Law Offices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35833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358330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334645</wp:posOffset>
            </wp:positionV>
            <wp:extent cx="716661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159"/>
          </w:cols>
          <w:pgMar w:left="300" w:top="712" w:right="1440" w:bottom="1440" w:gutter="0" w:footer="0" w:header="0"/>
        </w:sectPr>
      </w:pPr>
    </w:p>
    <w:bookmarkStart w:id="68" w:name="page69"/>
    <w:bookmarkEnd w:id="68"/>
    <w:p>
      <w:pPr>
        <w:spacing w:after="0" w:line="62" w:lineRule="exact"/>
        <w:rPr>
          <w:sz w:val="20"/>
          <w:szCs w:val="20"/>
          <w:color w:val="auto"/>
        </w:rPr>
      </w:pPr>
    </w:p>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4" w:lineRule="exact"/>
        <w:rPr>
          <w:sz w:val="20"/>
          <w:szCs w:val="20"/>
          <w:color w:val="auto"/>
        </w:rPr>
      </w:pPr>
    </w:p>
    <w:p>
      <w:pPr>
        <w:ind w:left="5380"/>
        <w:spacing w:after="0"/>
        <w:rPr>
          <w:sz w:val="20"/>
          <w:szCs w:val="20"/>
          <w:color w:val="auto"/>
        </w:rPr>
      </w:pPr>
      <w:r>
        <w:rPr>
          <w:rFonts w:ascii="Arial" w:cs="Arial" w:eastAsia="Arial" w:hAnsi="Arial"/>
          <w:sz w:val="27"/>
          <w:szCs w:val="27"/>
          <w:b w:val="1"/>
          <w:bCs w:val="1"/>
          <w:color w:val="auto"/>
        </w:rPr>
        <w:t>F-3</w:t>
      </w:r>
    </w:p>
    <w:p>
      <w:pPr>
        <w:spacing w:after="0" w:line="93"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Canaan Inc.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6"/>
        </w:trPr>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1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62"/>
        </w:trPr>
        <w:tc>
          <w:tcPr>
            <w:tcW w:w="1800" w:type="dxa"/>
            <w:vAlign w:val="bottom"/>
            <w:vMerge w:val="restart"/>
          </w:tcPr>
          <w:p>
            <w:pPr>
              <w:jc w:val="center"/>
              <w:ind w:left="899"/>
              <w:spacing w:after="0"/>
              <w:rPr>
                <w:sz w:val="20"/>
                <w:szCs w:val="20"/>
                <w:color w:val="auto"/>
              </w:rPr>
            </w:pPr>
            <w:r>
              <w:rPr>
                <w:rFonts w:ascii="Arial" w:cs="Arial" w:eastAsia="Arial" w:hAnsi="Arial"/>
                <w:sz w:val="16"/>
                <w:szCs w:val="16"/>
                <w:b w:val="1"/>
                <w:bCs w:val="1"/>
                <w:color w:val="auto"/>
                <w:w w:val="98"/>
              </w:rPr>
              <w:t>Security</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Calculation</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Maximum</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Maximum</w:t>
            </w:r>
          </w:p>
        </w:tc>
        <w:tc>
          <w:tcPr>
            <w:tcW w:w="1780" w:type="dxa"/>
            <w:vAlign w:val="bottom"/>
          </w:tcPr>
          <w:p>
            <w:pPr>
              <w:jc w:val="center"/>
              <w:ind w:left="739"/>
              <w:spacing w:after="0" w:line="162" w:lineRule="exact"/>
              <w:rPr>
                <w:sz w:val="20"/>
                <w:szCs w:val="20"/>
                <w:color w:val="auto"/>
              </w:rPr>
            </w:pPr>
            <w:r>
              <w:rPr>
                <w:rFonts w:ascii="Arial" w:cs="Arial" w:eastAsia="Arial" w:hAnsi="Arial"/>
                <w:sz w:val="16"/>
                <w:szCs w:val="16"/>
                <w:b w:val="1"/>
                <w:bCs w:val="1"/>
                <w:color w:val="auto"/>
                <w:w w:val="99"/>
              </w:rPr>
              <w:t>Amount of</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Forward</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or Carry</w:t>
            </w:r>
          </w:p>
        </w:tc>
        <w:tc>
          <w:tcPr>
            <w:tcW w:w="880" w:type="dxa"/>
            <w:vAlign w:val="bottom"/>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Aggregate</w:t>
            </w:r>
          </w:p>
        </w:tc>
        <w:tc>
          <w:tcPr>
            <w:tcW w:w="17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Fee Rate Registration</w:t>
            </w:r>
          </w:p>
        </w:tc>
        <w:tc>
          <w:tcPr>
            <w:tcW w:w="1380" w:type="dxa"/>
            <w:vAlign w:val="bottom"/>
            <w:gridSpan w:val="2"/>
          </w:tcPr>
          <w:p>
            <w:pPr>
              <w:ind w:left="40"/>
              <w:spacing w:after="0" w:line="111" w:lineRule="exact"/>
              <w:rPr>
                <w:sz w:val="20"/>
                <w:szCs w:val="20"/>
                <w:color w:val="auto"/>
              </w:rPr>
            </w:pPr>
            <w:r>
              <w:rPr>
                <w:rFonts w:ascii="Arial" w:cs="Arial" w:eastAsia="Arial" w:hAnsi="Arial"/>
                <w:sz w:val="12"/>
                <w:szCs w:val="12"/>
                <w:b w:val="1"/>
                <w:bCs w:val="1"/>
                <w:color w:val="auto"/>
              </w:rPr>
              <w:t>Forward Forward</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Initial</w:t>
            </w:r>
          </w:p>
        </w:tc>
        <w:tc>
          <w:tcPr>
            <w:tcW w:w="9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with</w:t>
            </w:r>
          </w:p>
        </w:tc>
        <w:tc>
          <w:tcPr>
            <w:tcW w:w="0" w:type="dxa"/>
            <w:vAlign w:val="bottom"/>
          </w:tcPr>
          <w:p>
            <w:pPr>
              <w:spacing w:after="0"/>
              <w:rPr>
                <w:sz w:val="1"/>
                <w:szCs w:val="1"/>
                <w:color w:val="auto"/>
              </w:rPr>
            </w:pPr>
          </w:p>
        </w:tc>
      </w:tr>
      <w:tr>
        <w:trPr>
          <w:trHeight w:val="162"/>
        </w:trPr>
        <w:tc>
          <w:tcPr>
            <w:tcW w:w="1800" w:type="dxa"/>
            <w:vAlign w:val="bottom"/>
          </w:tcPr>
          <w:p>
            <w:pPr>
              <w:jc w:val="center"/>
              <w:ind w:left="899"/>
              <w:spacing w:after="0" w:line="162" w:lineRule="exact"/>
              <w:rPr>
                <w:sz w:val="20"/>
                <w:szCs w:val="20"/>
                <w:color w:val="auto"/>
              </w:rPr>
            </w:pPr>
            <w:r>
              <w:rPr>
                <w:rFonts w:ascii="Arial" w:cs="Arial" w:eastAsia="Arial" w:hAnsi="Arial"/>
                <w:sz w:val="16"/>
                <w:szCs w:val="16"/>
                <w:b w:val="1"/>
                <w:bCs w:val="1"/>
                <w:color w:val="auto"/>
              </w:rPr>
              <w:t>Type</w:t>
            </w:r>
          </w:p>
        </w:tc>
        <w:tc>
          <w:tcPr>
            <w:tcW w:w="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Class Title</w:t>
            </w:r>
          </w:p>
        </w:tc>
        <w:tc>
          <w:tcPr>
            <w:tcW w:w="940" w:type="dxa"/>
            <w:vAlign w:val="bottom"/>
            <w:vMerge w:val="continue"/>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Registered</w:t>
            </w: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640" w:type="dxa"/>
            <w:vAlign w:val="bottom"/>
          </w:tcPr>
          <w:p>
            <w:pPr>
              <w:jc w:val="center"/>
              <w:ind w:left="4"/>
              <w:spacing w:after="0" w:line="162" w:lineRule="exact"/>
              <w:rPr>
                <w:sz w:val="20"/>
                <w:szCs w:val="20"/>
                <w:color w:val="auto"/>
              </w:rPr>
            </w:pPr>
            <w:r>
              <w:rPr>
                <w:rFonts w:ascii="Arial" w:cs="Arial" w:eastAsia="Arial" w:hAnsi="Arial"/>
                <w:sz w:val="16"/>
                <w:szCs w:val="16"/>
                <w:b w:val="1"/>
                <w:bCs w:val="1"/>
                <w:color w:val="auto"/>
                <w:w w:val="99"/>
              </w:rPr>
              <w:t>Form</w:t>
            </w:r>
          </w:p>
        </w:tc>
        <w:tc>
          <w:tcPr>
            <w:tcW w:w="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File</w:t>
            </w:r>
          </w:p>
        </w:tc>
        <w:tc>
          <w:tcPr>
            <w:tcW w:w="720" w:type="dxa"/>
            <w:vAlign w:val="bottom"/>
            <w:vMerge w:val="continue"/>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Offering Price</w:t>
            </w:r>
          </w:p>
        </w:tc>
        <w:tc>
          <w:tcPr>
            <w:tcW w:w="1780" w:type="dxa"/>
            <w:vAlign w:val="bottom"/>
          </w:tcPr>
          <w:p>
            <w:pPr>
              <w:jc w:val="center"/>
              <w:ind w:left="739"/>
              <w:spacing w:after="0" w:line="182" w:lineRule="exact"/>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ind w:left="4"/>
              <w:spacing w:after="0" w:line="182" w:lineRule="exact"/>
              <w:rPr>
                <w:sz w:val="20"/>
                <w:szCs w:val="20"/>
                <w:color w:val="auto"/>
              </w:rPr>
            </w:pPr>
            <w:r>
              <w:rPr>
                <w:rFonts w:ascii="Arial" w:cs="Arial" w:eastAsia="Arial" w:hAnsi="Arial"/>
                <w:sz w:val="16"/>
                <w:szCs w:val="16"/>
                <w:b w:val="1"/>
                <w:bCs w:val="1"/>
                <w:color w:val="auto"/>
                <w:w w:val="96"/>
              </w:rPr>
              <w:t>Type</w:t>
            </w:r>
          </w:p>
        </w:tc>
        <w:tc>
          <w:tcPr>
            <w:tcW w:w="7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Number</w:t>
            </w:r>
          </w:p>
        </w:tc>
        <w:tc>
          <w:tcPr>
            <w:tcW w:w="7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9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Rule</w:t>
            </w:r>
          </w:p>
        </w:tc>
        <w:tc>
          <w:tcPr>
            <w:tcW w:w="880" w:type="dxa"/>
            <w:vAlign w:val="bottom"/>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6"/>
              </w:rPr>
              <w:t>Unit</w:t>
            </w:r>
          </w:p>
        </w:tc>
        <w:tc>
          <w:tcPr>
            <w:tcW w:w="1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36"/>
        </w:trPr>
        <w:tc>
          <w:tcPr>
            <w:tcW w:w="1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-948055</wp:posOffset>
            </wp:positionV>
            <wp:extent cx="7216140" cy="5608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216140" cy="5608955"/>
                    </a:xfrm>
                    <a:prstGeom prst="rect">
                      <a:avLst/>
                    </a:prstGeom>
                    <a:noFill/>
                  </pic:spPr>
                </pic:pic>
              </a:graphicData>
            </a:graphic>
          </wp:anchor>
        </w:drawing>
      </w:r>
    </w:p>
    <w:p>
      <w:pPr>
        <w:ind w:left="10600"/>
        <w:spacing w:after="0" w:line="237" w:lineRule="auto"/>
        <w:rPr>
          <w:sz w:val="20"/>
          <w:szCs w:val="20"/>
          <w:color w:val="auto"/>
        </w:rPr>
      </w:pPr>
      <w:r>
        <w:rPr>
          <w:rFonts w:ascii="Arial" w:cs="Arial" w:eastAsia="Arial" w:hAnsi="Arial"/>
          <w:sz w:val="16"/>
          <w:szCs w:val="16"/>
          <w:b w:val="1"/>
          <w:bCs w:val="1"/>
          <w:color w:val="auto"/>
        </w:rPr>
        <w:t>Carried</w:t>
      </w:r>
    </w:p>
    <w:p>
      <w:pPr>
        <w:ind w:left="10560"/>
        <w:spacing w:after="0"/>
        <w:rPr>
          <w:sz w:val="20"/>
          <w:szCs w:val="20"/>
          <w:color w:val="auto"/>
        </w:rPr>
      </w:pPr>
      <w:r>
        <w:rPr>
          <w:rFonts w:ascii="Arial" w:cs="Arial" w:eastAsia="Arial" w:hAnsi="Arial"/>
          <w:sz w:val="16"/>
          <w:szCs w:val="16"/>
          <w:b w:val="1"/>
          <w:bCs w:val="1"/>
          <w:color w:val="auto"/>
        </w:rPr>
        <w:t>Forward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8"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Class A</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ordinary</w:t>
      </w:r>
    </w:p>
    <w:p>
      <w:pPr>
        <w:ind w:left="1160"/>
        <w:spacing w:after="0" w:line="185" w:lineRule="auto"/>
        <w:tabs>
          <w:tab w:leader="none" w:pos="1840" w:val="left"/>
          <w:tab w:leader="none" w:pos="298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1"/>
          <w:szCs w:val="21"/>
          <w:color w:val="auto"/>
          <w:vertAlign w:val="superscript"/>
        </w:rPr>
        <w:t>share, par</w:t>
      </w:r>
      <w:r>
        <w:rPr>
          <w:sz w:val="20"/>
          <w:szCs w:val="20"/>
          <w:color w:val="auto"/>
        </w:rPr>
        <w:tab/>
      </w:r>
      <w:r>
        <w:rPr>
          <w:rFonts w:ascii="Arial" w:cs="Arial" w:eastAsia="Arial" w:hAnsi="Arial"/>
          <w:sz w:val="12"/>
          <w:szCs w:val="12"/>
          <w:color w:val="auto"/>
        </w:rPr>
        <w:t>457(o)</w:t>
      </w:r>
    </w:p>
    <w:p>
      <w:pPr>
        <w:ind w:left="1860"/>
        <w:spacing w:after="0" w:line="237" w:lineRule="auto"/>
        <w:rPr>
          <w:sz w:val="20"/>
          <w:szCs w:val="20"/>
          <w:color w:val="auto"/>
        </w:rPr>
      </w:pPr>
      <w:r>
        <w:rPr>
          <w:rFonts w:ascii="Arial" w:cs="Arial" w:eastAsia="Arial" w:hAnsi="Arial"/>
          <w:sz w:val="16"/>
          <w:szCs w:val="16"/>
          <w:color w:val="auto"/>
        </w:rPr>
        <w:t>value US$</w:t>
      </w:r>
    </w:p>
    <w:p>
      <w:pPr>
        <w:ind w:left="1860"/>
        <w:spacing w:after="0" w:line="237" w:lineRule="auto"/>
        <w:rPr>
          <w:sz w:val="20"/>
          <w:szCs w:val="20"/>
          <w:color w:val="auto"/>
        </w:rPr>
      </w:pPr>
      <w:r>
        <w:rPr>
          <w:rFonts w:ascii="Arial" w:cs="Arial" w:eastAsia="Arial" w:hAnsi="Arial"/>
          <w:sz w:val="16"/>
          <w:szCs w:val="16"/>
          <w:color w:val="auto"/>
        </w:rPr>
        <w:t>0.00000005</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per share</w:t>
      </w:r>
    </w:p>
    <w:p>
      <w:pPr>
        <w:spacing w:after="0" w:line="22"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Preferred</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share, par</w:t>
      </w:r>
    </w:p>
    <w:p>
      <w:pPr>
        <w:jc w:val="center"/>
        <w:ind w:right="6740"/>
        <w:spacing w:after="0"/>
        <w:tabs>
          <w:tab w:leader="none" w:pos="220" w:val="left"/>
          <w:tab w:leader="none" w:pos="380" w:val="left"/>
        </w:tabs>
        <w:rPr>
          <w:sz w:val="20"/>
          <w:szCs w:val="20"/>
          <w:color w:val="auto"/>
        </w:rPr>
      </w:pPr>
      <w:r>
        <w:rPr>
          <w:rFonts w:ascii="Arial" w:cs="Arial" w:eastAsia="Arial" w:hAnsi="Arial"/>
          <w:sz w:val="16"/>
          <w:szCs w:val="16"/>
          <w:color w:val="auto"/>
        </w:rPr>
        <w:t>Equity</w:t>
        <w:tab/>
        <w:t>value US$</w:t>
      </w:r>
      <w:r>
        <w:rPr>
          <w:sz w:val="20"/>
          <w:szCs w:val="20"/>
          <w:color w:val="auto"/>
        </w:rPr>
        <w:tab/>
      </w:r>
      <w:r>
        <w:rPr>
          <w:rFonts w:ascii="Arial" w:cs="Arial" w:eastAsia="Arial" w:hAnsi="Arial"/>
          <w:sz w:val="15"/>
          <w:szCs w:val="15"/>
          <w:color w:val="auto"/>
        </w:rPr>
        <w:t>457(o)</w:t>
      </w:r>
    </w:p>
    <w:p>
      <w:pPr>
        <w:jc w:val="center"/>
        <w:ind w:right="6760"/>
        <w:spacing w:after="0" w:line="237" w:lineRule="auto"/>
        <w:rPr>
          <w:sz w:val="20"/>
          <w:szCs w:val="20"/>
          <w:color w:val="auto"/>
        </w:rPr>
      </w:pPr>
      <w:r>
        <w:rPr>
          <w:rFonts w:ascii="Arial" w:cs="Arial" w:eastAsia="Arial" w:hAnsi="Arial"/>
          <w:sz w:val="16"/>
          <w:szCs w:val="16"/>
          <w:color w:val="auto"/>
        </w:rPr>
        <w:t>0.00000005</w:t>
      </w:r>
    </w:p>
    <w:p>
      <w:pPr>
        <w:ind w:left="1860"/>
        <w:spacing w:after="0"/>
        <w:rPr>
          <w:sz w:val="20"/>
          <w:szCs w:val="20"/>
          <w:color w:val="auto"/>
        </w:rPr>
      </w:pPr>
      <w:r>
        <w:rPr>
          <w:rFonts w:ascii="Arial" w:cs="Arial" w:eastAsia="Arial" w:hAnsi="Arial"/>
          <w:sz w:val="16"/>
          <w:szCs w:val="16"/>
          <w:color w:val="auto"/>
        </w:rPr>
        <w:t>per share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w w:val="99"/>
              </w:rPr>
              <w:t>Subscription</w:t>
            </w:r>
          </w:p>
        </w:tc>
        <w:tc>
          <w:tcPr>
            <w:tcW w:w="20" w:type="dxa"/>
            <w:vAlign w:val="bottom"/>
          </w:tcPr>
          <w:p>
            <w:pPr>
              <w:spacing w:after="0"/>
              <w:rPr>
                <w:sz w:val="14"/>
                <w:szCs w:val="14"/>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 Units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$ 8,530,900.63</w:t>
            </w: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0.0001381</w:t>
            </w:r>
          </w:p>
        </w:tc>
        <w:tc>
          <w:tcPr>
            <w:tcW w:w="4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$ 1,178.12</w:t>
            </w: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share, par</w:t>
            </w: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$ 36,108.88</w:t>
            </w: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value US$</w:t>
            </w: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line="182" w:lineRule="exact"/>
              <w:rPr>
                <w:sz w:val="20"/>
                <w:szCs w:val="20"/>
                <w:color w:val="auto"/>
              </w:rPr>
            </w:pPr>
            <w:r>
              <w:rPr>
                <w:rFonts w:ascii="Arial" w:cs="Arial" w:eastAsia="Arial" w:hAnsi="Arial"/>
                <w:sz w:val="16"/>
                <w:szCs w:val="16"/>
                <w:color w:val="auto"/>
              </w:rPr>
              <w:t>261,469,099.37</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0.00000005</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Carry Forward Securities</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E7E7E2"/>
          </w:tcPr>
          <w:p>
            <w:pPr>
              <w:spacing w:after="0" w:line="176"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$ 37,287.00</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270,000,000.00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$ 36,108.88</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$ 1,178.12</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6" w:lineRule="exact"/>
        <w:rPr>
          <w:sz w:val="20"/>
          <w:szCs w:val="20"/>
          <w:color w:val="auto"/>
        </w:rPr>
      </w:pPr>
    </w:p>
    <w:p>
      <w:pPr>
        <w:ind w:left="200" w:right="800"/>
        <w:spacing w:after="0" w:line="276" w:lineRule="auto"/>
        <w:rPr>
          <w:sz w:val="20"/>
          <w:szCs w:val="20"/>
          <w:color w:val="auto"/>
        </w:rPr>
      </w:pPr>
      <w:r>
        <w:rPr>
          <w:rFonts w:ascii="Arial" w:cs="Arial" w:eastAsia="Arial" w:hAnsi="Arial"/>
          <w:sz w:val="16"/>
          <w:szCs w:val="16"/>
          <w:color w:val="auto"/>
        </w:rPr>
        <w:t>American depositary shares ("ADSs") issuable upon deposit of Class A ordinary shares registered hereby have been registered under a separate registration statement on Form F-6 (Registration No. 333-283941). Each American depositary share represents fifteen Class A ordinary shares.</w:t>
      </w:r>
    </w:p>
    <w:p>
      <w:pPr>
        <w:spacing w:after="0" w:line="122" w:lineRule="exact"/>
        <w:rPr>
          <w:sz w:val="20"/>
          <w:szCs w:val="20"/>
          <w:color w:val="auto"/>
        </w:rPr>
      </w:pPr>
    </w:p>
    <w:p>
      <w:pPr>
        <w:ind w:left="200" w:right="120"/>
        <w:spacing w:after="0" w:line="243" w:lineRule="auto"/>
        <w:rPr>
          <w:sz w:val="20"/>
          <w:szCs w:val="20"/>
          <w:color w:val="auto"/>
        </w:rPr>
      </w:pPr>
      <w:r>
        <w:rPr>
          <w:rFonts w:ascii="Arial" w:cs="Arial" w:eastAsia="Arial" w:hAnsi="Arial"/>
          <w:sz w:val="16"/>
          <w:szCs w:val="16"/>
          <w:color w:val="auto"/>
        </w:rPr>
        <w:t>There is being registered hereunder an indeterminate number of shares of (a) Class A Ordinary Shares, (b) preferred shares, (c) warrants, (d) debt securities, (e) subscription rights units, consisting of some or all of these securities in any combination, as shall have an aggregate initial offering price not to exceed US$270,000,000.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In addition, pursuant to Rule 416 under the Securities Act of 1933, as amended (the "Securities Act"), the shares being registered hereunder include such indeterminate number of shares of ordinary shares that may be issued from time to time to prevent dilution as a result of a distribution, split, combination or similar transaction.</w:t>
      </w:r>
    </w:p>
    <w:p>
      <w:pPr>
        <w:spacing w:after="0" w:line="150" w:lineRule="exact"/>
        <w:rPr>
          <w:sz w:val="20"/>
          <w:szCs w:val="20"/>
          <w:color w:val="auto"/>
        </w:rPr>
      </w:pPr>
    </w:p>
    <w:p>
      <w:pPr>
        <w:ind w:left="200" w:right="120"/>
        <w:spacing w:after="0" w:line="256" w:lineRule="auto"/>
        <w:rPr>
          <w:sz w:val="20"/>
          <w:szCs w:val="20"/>
          <w:color w:val="auto"/>
        </w:rPr>
      </w:pPr>
      <w:r>
        <w:rPr>
          <w:rFonts w:ascii="Arial" w:cs="Arial" w:eastAsia="Arial" w:hAnsi="Arial"/>
          <w:sz w:val="16"/>
          <w:szCs w:val="16"/>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F-3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391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6" w:lineRule="exact"/>
        <w:rPr>
          <w:sz w:val="20"/>
          <w:szCs w:val="20"/>
          <w:color w:val="auto"/>
        </w:rPr>
      </w:pPr>
    </w:p>
    <w:p>
      <w:pPr>
        <w:ind w:left="200" w:right="220"/>
        <w:spacing w:after="0" w:line="244" w:lineRule="auto"/>
        <w:rPr>
          <w:sz w:val="20"/>
          <w:szCs w:val="20"/>
          <w:color w:val="auto"/>
        </w:rPr>
      </w:pPr>
      <w:r>
        <w:rPr>
          <w:rFonts w:ascii="Arial" w:cs="Arial" w:eastAsia="Arial" w:hAnsi="Arial"/>
          <w:sz w:val="16"/>
          <w:szCs w:val="16"/>
          <w:color w:val="auto"/>
        </w:rPr>
        <w:t>This registration statement includes $261,469,099.37 of unsold securities, or the Unsold Securities, of the registrant that had been previously registered with respect to its Sales Agreement on the prospectus supplement dated October 24, 2025, or the Prior Prospectus Supplement, to the registration statement on Form F-3 (File No. 333-285125) initially filed and automatically effective on February 21, 2025. In connection with the registration of the Unsold Securities, the registrant paid a registration fee of $37,287.00 (calculated at the filing fee rate in effect at the time of the filing of the Prior Prospectus Supplement). The registration fee paid with respect to the Unsold Securities will continue to be applied to the Unsold Securities. No additional filing fee is due with respect to the Unsold Securities included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391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4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 or</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64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9"/>
                <w:szCs w:val="19"/>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9"/>
                <w:szCs w:val="19"/>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640" w:type="dxa"/>
            <w:vAlign w:val="bottom"/>
            <w:shd w:val="clear" w:color="auto" w:fill="9ADAF6"/>
          </w:tcPr>
          <w:p>
            <w:pPr>
              <w:ind w:left="100"/>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9"/>
                <w:szCs w:val="19"/>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9"/>
                <w:szCs w:val="19"/>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9"/>
                <w:szCs w:val="19"/>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9"/>
                <w:szCs w:val="19"/>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9"/>
                <w:szCs w:val="19"/>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r>
    </w:tbl>
    <w:p>
      <w:pPr>
        <w:sectPr>
          <w:pgSz w:w="11900" w:h="16900" w:orient="portrait"/>
          <w:cols w:equalWidth="0" w:num="1">
            <w:col w:w="11360"/>
          </w:cols>
          <w:pgMar w:left="300" w:top="140" w:right="239" w:bottom="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4126865</wp:posOffset>
            </wp:positionH>
            <wp:positionV relativeFrom="page">
              <wp:posOffset>88900</wp:posOffset>
            </wp:positionV>
            <wp:extent cx="416560" cy="756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416560" cy="7562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84"/>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900" w:type="dxa"/>
            <w:vAlign w:val="bottom"/>
            <w:gridSpan w:val="4"/>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with Fee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Offset</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2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7"/>
          </w:tcPr>
          <w:p>
            <w:pPr>
              <w:ind w:left="200"/>
              <w:spacing w:after="0"/>
              <w:rPr>
                <w:sz w:val="20"/>
                <w:szCs w:val="20"/>
                <w:color w:val="auto"/>
              </w:rPr>
            </w:pPr>
            <w:r>
              <w:rPr>
                <w:rFonts w:ascii="Arial" w:cs="Arial" w:eastAsia="Arial" w:hAnsi="Arial"/>
                <w:sz w:val="16"/>
                <w:szCs w:val="16"/>
                <w:b w:val="1"/>
                <w:bCs w:val="1"/>
                <w:color w:val="auto"/>
              </w:rPr>
              <w:t>Rules 457(b) and 0-</w:t>
            </w:r>
          </w:p>
        </w:tc>
        <w:tc>
          <w:tcPr>
            <w:tcW w:w="660" w:type="dxa"/>
            <w:vAlign w:val="bottom"/>
            <w:gridSpan w:val="3"/>
          </w:tcPr>
          <w:p>
            <w:pPr>
              <w:spacing w:after="0"/>
              <w:rPr>
                <w:sz w:val="20"/>
                <w:szCs w:val="20"/>
                <w:color w:val="auto"/>
              </w:rPr>
            </w:pPr>
            <w:r>
              <w:rPr>
                <w:rFonts w:ascii="Arial" w:cs="Arial" w:eastAsia="Arial" w:hAnsi="Arial"/>
                <w:sz w:val="16"/>
                <w:szCs w:val="16"/>
                <w:b w:val="1"/>
                <w:bCs w:val="1"/>
                <w:color w:val="auto"/>
              </w:rPr>
              <w:t>11(a)(2)</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4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E7E7E2"/>
          </w:tcPr>
          <w:p>
            <w:pPr>
              <w:spacing w:after="0"/>
              <w:rPr>
                <w:sz w:val="14"/>
                <w:szCs w:val="14"/>
                <w:color w:val="auto"/>
              </w:rPr>
            </w:pPr>
          </w:p>
        </w:tc>
        <w:tc>
          <w:tcPr>
            <w:tcW w:w="4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4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4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E7E7E2"/>
          </w:tcPr>
          <w:p>
            <w:pPr>
              <w:spacing w:after="0"/>
              <w:rPr>
                <w:sz w:val="14"/>
                <w:szCs w:val="14"/>
                <w:color w:val="auto"/>
              </w:rPr>
            </w:pPr>
          </w:p>
        </w:tc>
        <w:tc>
          <w:tcPr>
            <w:tcW w:w="4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4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6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39"/>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4"/>
            <w:vMerge w:val="restart"/>
            <w:shd w:val="clear" w:color="auto" w:fill="9ADAF6"/>
          </w:tcPr>
          <w:p>
            <w:pPr>
              <w:jc w:val="center"/>
              <w:ind w:right="299"/>
              <w:spacing w:after="0" w:line="182"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80" w:type="dxa"/>
            <w:vAlign w:val="bottom"/>
            <w:gridSpan w:val="3"/>
            <w:vMerge w:val="restart"/>
            <w:shd w:val="clear" w:color="auto" w:fill="9ADAF6"/>
          </w:tcPr>
          <w:p>
            <w:pPr>
              <w:ind w:left="60"/>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1780" w:type="dxa"/>
            <w:vAlign w:val="bottom"/>
            <w:gridSpan w:val="5"/>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Security Class Title</w:t>
            </w: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1780" w:type="dxa"/>
            <w:vAlign w:val="bottom"/>
            <w:gridSpan w:val="5"/>
            <w:vMerge w:val="continue"/>
            <w:shd w:val="clear" w:color="auto" w:fill="9ADAF6"/>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80" w:type="dxa"/>
            <w:vAlign w:val="bottom"/>
            <w:gridSpan w:val="3"/>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59"/>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20" w:type="dxa"/>
            <w:vAlign w:val="bottom"/>
            <w:gridSpan w:val="3"/>
            <w:vMerge w:val="restart"/>
            <w:shd w:val="clear" w:color="auto" w:fill="9ADAF6"/>
          </w:tcPr>
          <w:p>
            <w:pPr>
              <w:jc w:val="center"/>
              <w:ind w:right="319"/>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4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1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Roman"/>
      <w:start w:val="2"/>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2"/>
    </w:lvl>
    <w:lvl w:ilvl="1">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5072367"/>
    <w:multiLevelType w:val="hybridMultilevel"/>
    <w:lvl w:ilvl="0">
      <w:lvlJc w:val="left"/>
      <w:lvlText w:val="(%1)"/>
      <w:numFmt w:val="lowerRoman"/>
      <w:start w:val="4"/>
    </w:lvl>
  </w:abstractNum>
  <w:abstractNum w:abstractNumId="28">
    <w:nsid w:val="3804823E"/>
    <w:multiLevelType w:val="hybridMultilevel"/>
    <w:lvl w:ilvl="0">
      <w:lvlJc w:val="left"/>
      <w:lvlText w:val="(%1)"/>
      <w:numFmt w:val="decimal"/>
      <w:start w:val="2"/>
    </w:lvl>
    <w:lvl w:ilvl="1">
      <w:lvlJc w:val="left"/>
      <w:lvlText w:val="(%2)"/>
      <w:numFmt w:val="lowerRoman"/>
      <w:start w:val="1"/>
    </w:lvl>
  </w:abstractNum>
  <w:abstractNum w:abstractNumId="29">
    <w:nsid w:val="77465F01"/>
    <w:multiLevelType w:val="hybridMultilevel"/>
    <w:lvl w:ilvl="0">
      <w:lvlJc w:val="left"/>
      <w:lvlText w:val="(%1)"/>
      <w:numFmt w:val="decimal"/>
      <w:start w:val="6"/>
    </w:lvl>
  </w:abstractNum>
  <w:abstractNum w:abstractNumId="30">
    <w:nsid w:val="7724C67E"/>
    <w:multiLevelType w:val="hybridMultilevel"/>
    <w:lvl w:ilvl="0">
      <w:lvlJc w:val="left"/>
      <w:lvlText w:val="%1"/>
      <w:numFmt w:val="lowerLetter"/>
      <w:start w:val="1"/>
    </w:lvl>
    <w:lvl w:ilvl="1">
      <w:lvlJc w:val="left"/>
      <w:lvlText w:val="(%2)"/>
      <w:numFmt w:val="lowerRoman"/>
      <w:start w:val="1"/>
    </w:lvl>
  </w:abstractNum>
  <w:abstractNum w:abstractNumId="31">
    <w:nsid w:val="5C482A97"/>
    <w:multiLevelType w:val="hybridMultilevel"/>
    <w:lvl w:ilvl="0">
      <w:lvlJc w:val="left"/>
      <w:lvlText w:val="(%1)"/>
      <w:numFmt w:val="lowerLetter"/>
      <w:start w:val="2"/>
    </w:lvl>
    <w:lvl w:ilvl="1">
      <w:lvlJc w:val="left"/>
      <w:lvlText w:val="%2"/>
      <w:numFmt w:val="lowerRoman"/>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bullet"/>
      <w:start w:val="1"/>
    </w:lvl>
  </w:abstractNum>
  <w:abstractNum w:abstractNumId="37">
    <w:nsid w:val="153EA438"/>
    <w:multiLevelType w:val="hybridMultilevel"/>
    <w:lvl w:ilvl="0">
      <w:lvlJc w:val="left"/>
      <w:lvlText w:val="2"/>
      <w:numFmt w:val="bullet"/>
      <w:start w:val="1"/>
    </w:lvl>
  </w:abstractNum>
  <w:abstractNum w:abstractNumId="38">
    <w:nsid w:val="3855585C"/>
    <w:multiLevelType w:val="hybridMultilevel"/>
    <w:lvl w:ilvl="0">
      <w:lvlJc w:val="left"/>
      <w:lvlText w:val="3"/>
      <w:numFmt w:val="bullet"/>
      <w:start w:val="1"/>
    </w:lvl>
  </w:abstractNum>
  <w:abstractNum w:abstractNumId="39">
    <w:nsid w:val="70A64E2A"/>
    <w:multiLevelType w:val="hybridMultilevel"/>
    <w:lvl w:ilvl="0">
      <w:lvlJc w:val="left"/>
      <w:lvlText w:val="4"/>
      <w:numFmt w:val="bullet"/>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0"/>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jpe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jpe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jpeg"/><Relationship Id="rId118" Type="http://schemas.openxmlformats.org/officeDocument/2006/relationships/image" Target="media/image99.png"/><Relationship Id="rId119" Type="http://schemas.openxmlformats.org/officeDocument/2006/relationships/image" Target="media/image100.jpeg"/><Relationship Id="rId120" Type="http://schemas.openxmlformats.org/officeDocument/2006/relationships/image" Target="media/image101.png"/><Relationship Id="rId121" Type="http://schemas.openxmlformats.org/officeDocument/2006/relationships/image" Target="media/image102.jpe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jpe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6" Type="http://schemas.openxmlformats.org/officeDocument/2006/relationships/hyperlink" Target="https://www.sec.gov/ix?doc=/Archives/edgar/data/1780652/000141057825000805/can-20241231x20f.htm" TargetMode="External"/><Relationship Id="rId74" Type="http://schemas.openxmlformats.org/officeDocument/2006/relationships/hyperlink" Target="https://www.sec.gov/Archives/edgar/data/1780652/000110465925078115/tm2523511d1_6k.htm" TargetMode="External"/><Relationship Id="rId75" Type="http://schemas.openxmlformats.org/officeDocument/2006/relationships/hyperlink" Target="https://www.sec.gov/Archives/edgar/data/1780652/000110465925102128/tm2529349d1_6k.htm" TargetMode="External"/><Relationship Id="rId76" Type="http://schemas.openxmlformats.org/officeDocument/2006/relationships/hyperlink" Target="https://www.sec.gov/Archives/edgar/data/1780652/000110465925105985/tm2530041d2_6k.htm" TargetMode="External"/><Relationship Id="rId77" Type="http://schemas.openxmlformats.org/officeDocument/2006/relationships/hyperlink" Target="https://www.sec.gov/Archives/edgar/data/1780652/000110465925113456/tm2531575d1_6k.htm" TargetMode="External"/><Relationship Id="rId78" Type="http://schemas.openxmlformats.org/officeDocument/2006/relationships/hyperlink" Target="https://www.sec.gov/Archives/edgar/data/1780652/000110465926012386/tm265785d2_6k.htm" TargetMode="External"/><Relationship Id="rId79" Type="http://schemas.openxmlformats.org/officeDocument/2006/relationships/hyperlink" Target="https://www.sec.gov/Archives/edgar/data/1780652/000119312519285286/d796227d8a12b.htm" TargetMode="External"/><Relationship Id="rId80" Type="http://schemas.openxmlformats.org/officeDocument/2006/relationships/hyperlink" Target="https://www.sec.gov/Archives/edgar/data/1780652/000156459020016788/can-ex22_98.htm" TargetMode="External"/><Relationship Id="rId85" Type="http://schemas.openxmlformats.org/officeDocument/2006/relationships/hyperlink" Target="http://www.sec.gov/Archives/edgar/data/1201935/000101915519000304/canaandeposit.htm" TargetMode="External"/><Relationship Id="rId86" Type="http://schemas.openxmlformats.org/officeDocument/2006/relationships/hyperlink" Target="https://www.sec.gov/Archives/edgar/data/1780652/000119312519276263/d773846dex41.htm" TargetMode="External"/><Relationship Id="rId87" Type="http://schemas.openxmlformats.org/officeDocument/2006/relationships/hyperlink" Target="https://www.sec.gov/Archives/edgar/data/1201935/000101915524000351/canaanda.htm" TargetMode="External"/><Relationship Id="rId88" Type="http://schemas.openxmlformats.org/officeDocument/2006/relationships/hyperlink" Target="https://www.sec.gov/Archives/edgar/data/1780652/000110465925016121/tm257059-1_f3asr.htm#tPOW"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2026-04-15T15:07:25Z</dcterms:created>
  <dcterms:modified xsi:type="dcterms:W3CDTF">2026-04-15T15:07:25Z</dcterms:modified>
</cp:coreProperties>
</file>