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6-K</w:t>
      </w:r>
    </w:p>
    <w:p>
      <w:pPr>
        <w:spacing w:after="0" w:line="18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REPORT OF FOREIGN PRIVATE ISSUER PURSUANT TO RULE 13a-16 OR 15d-16 UNDER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 the month of April 2020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Canaan Inc.</w:t>
      </w:r>
    </w:p>
    <w:p>
      <w:pPr>
        <w:spacing w:after="0" w:line="50"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(Registrant’s name)</w:t>
      </w:r>
    </w:p>
    <w:p>
      <w:pPr>
        <w:spacing w:after="0" w:line="138"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30/F, Dicara Silver Tower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29 Jiefang East Road</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Jianggan District, Hangzhou, 310016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w:t>
      </w: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8"/>
        </w:trPr>
        <w:tc>
          <w:tcPr>
            <w:tcW w:w="9580" w:type="dxa"/>
            <w:vAlign w:val="bottom"/>
          </w:tcPr>
          <w:p>
            <w:pPr>
              <w:ind w:left="46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580" w:type="dxa"/>
            <w:vAlign w:val="bottom"/>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submitting the Form 6-K in paper as permitted by Regulation S-T Rule 101(b)(1):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66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 w:type="dxa"/>
            <w:vAlign w:val="bottom"/>
          </w:tcPr>
          <w:p>
            <w:pPr>
              <w:spacing w:after="0"/>
              <w:rPr>
                <w:sz w:val="24"/>
                <w:szCs w:val="24"/>
                <w:color w:val="auto"/>
              </w:rPr>
            </w:pPr>
          </w:p>
        </w:tc>
      </w:tr>
      <w:tr>
        <w:trPr>
          <w:trHeight w:val="324"/>
        </w:trPr>
        <w:tc>
          <w:tcPr>
            <w:tcW w:w="9580" w:type="dxa"/>
            <w:vAlign w:val="bottom"/>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submitting the Form 6-K in paper as permitted by Regulation S-T Rule 101(b)(7):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66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 w:type="dxa"/>
            <w:vAlign w:val="bottom"/>
          </w:tcPr>
          <w:p>
            <w:pPr>
              <w:spacing w:after="0"/>
              <w:rPr>
                <w:sz w:val="24"/>
                <w:szCs w:val="24"/>
                <w:color w:val="auto"/>
              </w:rPr>
            </w:pPr>
          </w:p>
        </w:tc>
      </w:tr>
      <w:tr>
        <w:trPr>
          <w:trHeight w:val="142"/>
        </w:trPr>
        <w:tc>
          <w:tcPr>
            <w:tcW w:w="95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2"/>
        </w:trPr>
        <w:tc>
          <w:tcPr>
            <w:tcW w:w="95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Unaudited Fourth Quarter and Full Year 2019 Financial Results</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April 9, 2020, Canaan Inc. (the “Company’) announced its unaudited fourth quarter and full year 2019 financial results.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Exhibits</w:t>
      </w:r>
    </w:p>
    <w:p>
      <w:pPr>
        <w:spacing w:after="0" w:line="17" w:lineRule="exact"/>
        <w:rPr>
          <w:sz w:val="20"/>
          <w:szCs w:val="20"/>
          <w:color w:val="auto"/>
        </w:rPr>
      </w:pPr>
    </w:p>
    <w:p>
      <w:pPr>
        <w:ind w:left="180"/>
        <w:spacing w:after="0"/>
        <w:tabs>
          <w:tab w:leader="none" w:pos="9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11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Canaan Inc. Reports Unaudited Fourth Quarter and Full Year 2019 Financial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94"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2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Canaan Inc.</w:t>
      </w:r>
    </w:p>
    <w:p>
      <w:pPr>
        <w:spacing w:after="0" w:line="225" w:lineRule="exact"/>
        <w:rPr>
          <w:sz w:val="20"/>
          <w:szCs w:val="20"/>
          <w:color w:val="auto"/>
        </w:rPr>
      </w:pPr>
    </w:p>
    <w:p>
      <w:pPr>
        <w:spacing w:after="0"/>
        <w:tabs>
          <w:tab w:leader="none" w:pos="5800" w:val="left"/>
          <w:tab w:leader="none" w:pos="6540" w:val="left"/>
        </w:tabs>
        <w:rPr>
          <w:sz w:val="20"/>
          <w:szCs w:val="20"/>
          <w:color w:val="auto"/>
        </w:rPr>
      </w:pPr>
      <w:r>
        <w:rPr>
          <w:rFonts w:ascii="Arial" w:cs="Arial" w:eastAsia="Arial" w:hAnsi="Arial"/>
          <w:sz w:val="18"/>
          <w:szCs w:val="18"/>
          <w:color w:val="auto"/>
        </w:rPr>
        <w:t>Date: April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Quanfu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974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540" w:val="left"/>
        </w:tabs>
        <w:rPr>
          <w:sz w:val="20"/>
          <w:szCs w:val="20"/>
          <w:color w:val="auto"/>
        </w:rPr>
      </w:pPr>
      <w:r>
        <w:rPr>
          <w:rFonts w:ascii="Arial" w:cs="Arial" w:eastAsia="Arial" w:hAnsi="Arial"/>
          <w:sz w:val="18"/>
          <w:szCs w:val="18"/>
          <w:color w:val="auto"/>
        </w:rPr>
        <w:t>Name:</w:t>
        <w:tab/>
        <w:t>Quanfu Hong</w:t>
      </w:r>
    </w:p>
    <w:p>
      <w:pPr>
        <w:spacing w:after="0" w:line="23" w:lineRule="exact"/>
        <w:rPr>
          <w:sz w:val="20"/>
          <w:szCs w:val="20"/>
          <w:color w:val="auto"/>
        </w:rPr>
      </w:pPr>
    </w:p>
    <w:p>
      <w:pPr>
        <w:ind w:left="58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ectPr>
          <w:pgSz w:w="11900" w:h="16838" w:orient="portrait"/>
          <w:cols w:equalWidth="0" w:num="1">
            <w:col w:w="10980"/>
          </w:cols>
          <w:pgMar w:left="320" w:top="94"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Canaan Inc. Reports Unaudited Fourth Quarter and Full Year 2019 Financial Results</w:t>
      </w:r>
    </w:p>
    <w:p>
      <w:pPr>
        <w:spacing w:after="0" w:line="22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Hangzhou, China, April 9, 2020 (GLOBE NEWSWIRE) -- Canaan Inc. (NASDAQ: CAN) ("Canaan" or the "Company"), a leading high-performance computing solutions provider, today announced its unaudited financial results for the fourth quarter of 2019 and full year ended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Operating and 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computing power sold </w:t>
      </w:r>
      <w:r>
        <w:rPr>
          <w:rFonts w:ascii="Arial" w:cs="Arial" w:eastAsia="Arial" w:hAnsi="Arial"/>
          <w:sz w:val="18"/>
          <w:szCs w:val="18"/>
          <w:color w:val="auto"/>
        </w:rPr>
        <w:t>increased by 86.6% to 2.9 million Thash/s from 1.6 million Thash/s in the same period of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increased 66.8% to RMB463.2 million (US$66.5 million) from RMB277.7 million in the same period of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loss </w:t>
      </w:r>
      <w:r>
        <w:rPr>
          <w:rFonts w:ascii="Arial" w:cs="Arial" w:eastAsia="Arial" w:hAnsi="Arial"/>
          <w:sz w:val="18"/>
          <w:szCs w:val="18"/>
          <w:color w:val="auto"/>
        </w:rPr>
        <w:t>was RMB673.4 million (US$96.7 million) compared to a gross profit of RMB11.6 million in the same period of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RMB798.2 million (US$114.7 million) compared to RMB27.5 million in the same period of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Non-GAAP adjusted net loss </w:t>
      </w:r>
      <w:r>
        <w:rPr>
          <w:rFonts w:ascii="Arial" w:cs="Arial" w:eastAsia="Arial" w:hAnsi="Arial"/>
          <w:sz w:val="18"/>
          <w:szCs w:val="18"/>
          <w:color w:val="auto"/>
        </w:rPr>
        <w:t>was RMB750.5 million (US$107.8 million) compared to RMB23.1 million in the same period of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 Operating and 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computing power sold </w:t>
      </w:r>
      <w:r>
        <w:rPr>
          <w:rFonts w:ascii="Arial" w:cs="Arial" w:eastAsia="Arial" w:hAnsi="Arial"/>
          <w:sz w:val="18"/>
          <w:szCs w:val="18"/>
          <w:color w:val="auto"/>
        </w:rPr>
        <w:t>increased by 47.1% to 10.5 million Thash/s from 7.2 million Thash/s in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were RMB1,422.6 million (US$204.3 million) compared to RMB2,705.3 million in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loss </w:t>
      </w:r>
      <w:r>
        <w:rPr>
          <w:rFonts w:ascii="Arial" w:cs="Arial" w:eastAsia="Arial" w:hAnsi="Arial"/>
          <w:sz w:val="18"/>
          <w:szCs w:val="18"/>
          <w:color w:val="auto"/>
        </w:rPr>
        <w:t>was RMB516.0 million (US$74.1 million) compared to a gross profit of RMB508.2 million in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RMB1,034.5 million (US$148.6 million) compared to a net income of RMB122.4 million in 2018.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Non-GAAP adjusted net loss </w:t>
      </w:r>
      <w:r>
        <w:rPr>
          <w:rFonts w:ascii="Arial" w:cs="Arial" w:eastAsia="Arial" w:hAnsi="Arial"/>
          <w:sz w:val="17"/>
          <w:szCs w:val="17"/>
          <w:color w:val="auto"/>
        </w:rPr>
        <w:t>was RMB764.3 million (US$109.8 million) compared to non-GAAP adjusted net income of RMB141.0 million in 2018.</w:t>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success of our initial public offering in November 2019 has elevated the global recognition of our brand and demonstrated the attractiveness of our value proposition to the investment community,” commented Mr. Nangeng Zhang, Chairman and Chief Executive Officer of Canaan. “During the fourth quarter of 2019, we recorded solid top-line year over year growth while further solidifying our market leadership in spite of the increased Bitcoin price volatility in the quarter. To fuel our growth in the years to come, we will remain focused on the optimization of our supply chains, enhancement of our product offerings, and execution of our new business initiatives. We are confident that our efforts in these areas will improve our ability to further diversify our revenue streams, capture the tremendous growth opportunities within the IC industry, and overcome any potential market obstacles in the future.”</w:t>
      </w:r>
    </w:p>
    <w:p>
      <w:pPr>
        <w:spacing w:after="0" w:line="19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Mr. Quanfu Hong, Chief Financial Officer of Canaan, stated, “Our total net revenues in the fourth quarter grew by 66.8% year over year, driven by increases in total computing power sold in the period. Looking forward, we will continue to invest in the development of our core research and development capabilities and expand into the fields of artificial intelligence and supercomputing. We firmly believe that investment into these new initiatives will position us well to capture those opportunities that will inevitably arise in the wake of the pandemic.”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Financial Results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 the fourth quarter of 2019 increased by 66.8% to RMB463.2 million (US$66.5 million) from RMB277.7 million in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2018. The growth was mainly driven by increases in total computing power sold. During the fourth quarter of 2019, total computing power sold increased by 86.6% year over year to 2.9 million Thash/s from 1.6 million Thash/s in the same period of 2018.</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in the fourth quarter of 2019 was RMB1,136.7 million (US$163.3 million) compared to RMB266.1 million in the same period of 2018.</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was primarily due to inventories and prepayments write down of RMB729.0 million (US$104.7 million), which was a result of the significant drop in the Bitcoin price throughout the issue of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statements, which drives the significant decrease in both the demand and selling price, as well as the increase in sales volume in terms of Thash.</w:t>
      </w: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Gross loss </w:t>
      </w:r>
      <w:r>
        <w:rPr>
          <w:rFonts w:ascii="Arial" w:cs="Arial" w:eastAsia="Arial" w:hAnsi="Arial"/>
          <w:sz w:val="18"/>
          <w:szCs w:val="18"/>
          <w:color w:val="auto"/>
        </w:rPr>
        <w:t>in the fourth quarter of 2019 was RMB673.4 million (US$96.7 million) compared to a gross profit of RMB11.6 million in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2018.</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in the fourth quarter of 2019 were RMB127.7 million (US$18.3 million) compared to RMB86.2 million in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 the fourth quarter of 2019 were RMB63.6 million (US$9.1 million) compared to RMB51.1 million in the same period of 2018. The increase was mainly due to higher share-based compensation expenses in the fourth quarter of 2019. As a percentage of total net revenues, research and development expenses in the fourth quarter of 2019 decreased to 13.7% from 18.4% in the same period of 2018 due to the increase in revenue.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in the fourth quarter of 2019 were RMB7.7 million (US$1.1 million) compared to RMB4.4 million in the same period of 2018. The increase was primarily due to a higher amount in compensation expenses paid to the Company’s sales and marketing staff as a result of the increase in product sales during the fourth quarter of 2019. As a percentage of total net revenues, sales and marketing expenses in the fourth quarter of 2019 increased slightly to 1.7% from 1.6% in the same period of 2018.</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 the fourth quarter of 2019 were RMB56.4 million (US$8.1 million) compared to RMB30.6 million in the same period of 2018. The increase was mainly due to higher share-based compensation expenses in the fourth quarter of 2019. As a percentage of total net revenues, general and administrative expenses in the fourth quarter of 2019 increased to 12.2% from 11.0% in the same period of 2018.</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from operations </w:t>
      </w:r>
      <w:r>
        <w:rPr>
          <w:rFonts w:ascii="Arial" w:cs="Arial" w:eastAsia="Arial" w:hAnsi="Arial"/>
          <w:sz w:val="16"/>
          <w:szCs w:val="16"/>
          <w:color w:val="auto"/>
        </w:rPr>
        <w:t>in the fourth quarter of 2019 was RMB801.2 million (US$115.1million) compared to RMB74.5 million in the same period of 2018.</w:t>
      </w:r>
    </w:p>
    <w:p>
      <w:pPr>
        <w:spacing w:after="0" w:line="2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Net loss attributable to ordinary shareholders </w:t>
      </w:r>
      <w:r>
        <w:rPr>
          <w:rFonts w:ascii="Arial" w:cs="Arial" w:eastAsia="Arial" w:hAnsi="Arial"/>
          <w:sz w:val="18"/>
          <w:szCs w:val="18"/>
          <w:color w:val="auto"/>
        </w:rPr>
        <w:t>in the fourth quarter of 2019 was RMB798.2 million (US$114.7 million) compared to RMB27.5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same period of 2018.</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Non-GAAP adjusted net loss </w:t>
      </w:r>
      <w:r>
        <w:rPr>
          <w:rFonts w:ascii="Arial" w:cs="Arial" w:eastAsia="Arial" w:hAnsi="Arial"/>
          <w:sz w:val="18"/>
          <w:szCs w:val="18"/>
          <w:color w:val="auto"/>
        </w:rPr>
        <w:t>in the fourth quarter of 2019 was RMB750.5 million (US$107.8 million) compared to RMB23.1 million in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2018. Non-GAAP adjusted net loss excludes share-based compensation expense. For further information, please refer to "Use of Non-GAAP Financial Measures" in this release.</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Basic and diluted net loss per ADS </w:t>
      </w:r>
      <w:r>
        <w:rPr>
          <w:rFonts w:ascii="Arial" w:cs="Arial" w:eastAsia="Arial" w:hAnsi="Arial"/>
          <w:sz w:val="18"/>
          <w:szCs w:val="18"/>
          <w:color w:val="auto"/>
        </w:rPr>
        <w:t>for the fourth quarter of 2019 was RMB5.34 (US$0.77) compared to RMB0.21 in the same period of 2018. Each ADS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15 of the Company's Class A ordinary shares.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As of December 31, 2019, the Company had </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xml:space="preserve"> of RMB516.6 million (US$74.2 million) compared to RMB258.9 million as of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 Financial Results</w:t>
      </w:r>
    </w:p>
    <w:p>
      <w:pPr>
        <w:spacing w:after="0" w:line="25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 xml:space="preserve">Total net revenues </w:t>
      </w:r>
      <w:r>
        <w:rPr>
          <w:rFonts w:ascii="Arial" w:cs="Arial" w:eastAsia="Arial" w:hAnsi="Arial"/>
          <w:sz w:val="17"/>
          <w:szCs w:val="17"/>
          <w:color w:val="auto"/>
        </w:rPr>
        <w:t>in 2019 were RMB1,422.6 million (US$204.3 million) compared to RMB2,705.3 million in 2018. The decrease was mainly due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decline in ASP per Thash sold, which in turn was the result of the Bitcoin price drop that began in 2018. The decrease was partially offset by increases in total computing power sold, which increased by 47.1% year over year to 10.5 million Thash/s in 2019 from 7.2 million Thash/s in 2018.</w:t>
      </w:r>
    </w:p>
    <w:p>
      <w:pPr>
        <w:spacing w:after="0" w:line="17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Cost of revenues </w:t>
      </w:r>
      <w:r>
        <w:rPr>
          <w:rFonts w:ascii="Arial" w:cs="Arial" w:eastAsia="Arial" w:hAnsi="Arial"/>
          <w:sz w:val="16"/>
          <w:szCs w:val="16"/>
          <w:color w:val="auto"/>
        </w:rPr>
        <w:t>in 2019 decreased by 11.8% to RMB1,938.6 million (US$278.5 million) from RMB2,197.2 million in 2018 as a result of realization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inventories and prepayments write down of RMB589.5 million which was recorded in 2018, partially offset by the increase in sales volume of Thash.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loss </w:t>
      </w:r>
      <w:r>
        <w:rPr>
          <w:rFonts w:ascii="Arial" w:cs="Arial" w:eastAsia="Arial" w:hAnsi="Arial"/>
          <w:sz w:val="18"/>
          <w:szCs w:val="18"/>
          <w:color w:val="auto"/>
        </w:rPr>
        <w:t>in 2019 was RMB516.0 million (US$74.1 million) compared to a gross profit of RMB508.2 million in 2018.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in 2019 were RMB538.5 million (US$77.4 million) compared to RMB375.1 million in 2018.</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 2019 decreased by 10.9% to RMB169.0 million (US$24.3 million) from RMB189.7 million in 2018, primarily due to the contraction of research and development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expenses in 2019 decreased by 43.4% to RMB21.9 million (US$3.1 million) from RMB38.7 million in 2018, primarily due to the decrease in sales, as the compensation of our sales and marketing personnel is linked to the actual sales of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 2019 were RMB347.6 million (US$49.9 million) compared to RMB146.7 million in 2018. General and administrative expenses in 2019 included RMB247.4 million (US$35.5million) of share-based compensation expenses. The higher share-based compensation was mainly due to the excess of appraised fair value of ordinary shares transferred from existing shareholders to other existing shareholders who were also employees.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Loss from operations </w:t>
      </w:r>
      <w:r>
        <w:rPr>
          <w:rFonts w:ascii="Arial" w:cs="Arial" w:eastAsia="Arial" w:hAnsi="Arial"/>
          <w:sz w:val="17"/>
          <w:szCs w:val="17"/>
          <w:color w:val="auto"/>
        </w:rPr>
        <w:t>in 2019 was RMB1,054.5 million (US$151.5 million) compared to income from operations of RMB133.0 million in 2018.</w:t>
      </w:r>
    </w:p>
    <w:p>
      <w:pPr>
        <w:spacing w:after="0" w:line="2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Net loss attributable to ordinary shareholders </w:t>
      </w:r>
      <w:r>
        <w:rPr>
          <w:rFonts w:ascii="Arial" w:cs="Arial" w:eastAsia="Arial" w:hAnsi="Arial"/>
          <w:sz w:val="18"/>
          <w:szCs w:val="18"/>
          <w:color w:val="auto"/>
        </w:rPr>
        <w:t>in 2019 was RMB1,034.5 million (US$148.6 million) compared to net income attributable to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RMB122.4 million in 2018.</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Non-GAAP adjusted net loss </w:t>
      </w:r>
      <w:r>
        <w:rPr>
          <w:rFonts w:ascii="Arial" w:cs="Arial" w:eastAsia="Arial" w:hAnsi="Arial"/>
          <w:sz w:val="18"/>
          <w:szCs w:val="18"/>
          <w:color w:val="auto"/>
        </w:rPr>
        <w:t>in 2019 was RMB764.3 million (US$109.8 million) compared to non-GAAP adjusted net income of RMB141.0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2018. Non-GAAP adjusted net loss and non-GAAP adjusted net income excludes share-based compensation expense. For further information, please refer to "Use of Non-GAAP Financial Measures" in this release..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Basic and diluted net loss per ADS </w:t>
      </w:r>
      <w:r>
        <w:rPr>
          <w:rFonts w:ascii="Arial" w:cs="Arial" w:eastAsia="Arial" w:hAnsi="Arial"/>
          <w:sz w:val="17"/>
          <w:szCs w:val="17"/>
          <w:color w:val="auto"/>
        </w:rPr>
        <w:t>in 2019 was RMB7.21 (US$1.04) compared to basic and diluted net income per ADS of RMB0.93 in 2018.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first challenge that the Company is facing in 2020 is the COVID-19 outbreak. At the current stage of development, our top priority is the health and safety of our employees. As a result of the impact of the COVID-19 outbreak, a widespread health crisis that adversely affected general commercial activities, the economies, financial markets, as well as the cryptocurrency market activities, we have lowered our expectations for business in the year of 2020. For the first quarter of 2020, the Company expects total revenues not less than RMB60 million. This forecast reflects the Company's current and preliminary views on the market and operational conditions, which are subject to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hold a Direct Event conference call on Thursday, April 9, 2020, at 8:00 A.M. Eastern Time (or 8:00 P.M. Beijing Time on the same day) to discuss the financial results. Details for the conference call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Event Title:</w:t>
            </w:r>
          </w:p>
        </w:tc>
        <w:tc>
          <w:tcPr>
            <w:tcW w:w="5300" w:type="dxa"/>
            <w:vAlign w:val="bottom"/>
            <w:gridSpan w:val="2"/>
          </w:tcPr>
          <w:p>
            <w:pPr>
              <w:spacing w:after="0"/>
              <w:rPr>
                <w:sz w:val="20"/>
                <w:szCs w:val="20"/>
                <w:color w:val="auto"/>
              </w:rPr>
            </w:pPr>
            <w:r>
              <w:rPr>
                <w:rFonts w:ascii="Arial" w:cs="Arial" w:eastAsia="Arial" w:hAnsi="Arial"/>
                <w:sz w:val="18"/>
                <w:szCs w:val="18"/>
                <w:color w:val="auto"/>
                <w:w w:val="89"/>
              </w:rPr>
              <w:t>Canaan Inc. Fourth Quarter and Full Year 2019 Earnings Conference Call</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Conference ID:</w:t>
            </w:r>
          </w:p>
        </w:tc>
        <w:tc>
          <w:tcPr>
            <w:tcW w:w="4160" w:type="dxa"/>
            <w:vAlign w:val="bottom"/>
          </w:tcPr>
          <w:p>
            <w:pPr>
              <w:spacing w:after="0"/>
              <w:rPr>
                <w:sz w:val="20"/>
                <w:szCs w:val="20"/>
                <w:color w:val="auto"/>
              </w:rPr>
            </w:pPr>
            <w:r>
              <w:rPr>
                <w:rFonts w:ascii="Arial" w:cs="Arial" w:eastAsia="Arial" w:hAnsi="Arial"/>
                <w:sz w:val="18"/>
                <w:szCs w:val="18"/>
                <w:color w:val="auto"/>
              </w:rPr>
              <w:t>#2844497</w:t>
            </w:r>
          </w:p>
        </w:tc>
        <w:tc>
          <w:tcPr>
            <w:tcW w:w="1140" w:type="dxa"/>
            <w:vAlign w:val="bottom"/>
          </w:tcPr>
          <w:p>
            <w:pPr>
              <w:spacing w:after="0"/>
              <w:rPr>
                <w:sz w:val="18"/>
                <w:szCs w:val="18"/>
                <w:color w:val="auto"/>
              </w:rPr>
            </w:pPr>
          </w:p>
        </w:tc>
      </w:tr>
      <w:tr>
        <w:trPr>
          <w:trHeight w:val="190"/>
        </w:trPr>
        <w:tc>
          <w:tcPr>
            <w:tcW w:w="1960" w:type="dxa"/>
            <w:vAlign w:val="bottom"/>
          </w:tcPr>
          <w:p>
            <w:pPr>
              <w:spacing w:after="0" w:line="190" w:lineRule="exact"/>
              <w:rPr>
                <w:sz w:val="20"/>
                <w:szCs w:val="20"/>
                <w:color w:val="auto"/>
              </w:rPr>
            </w:pPr>
            <w:r>
              <w:rPr>
                <w:rFonts w:ascii="Arial" w:cs="Arial" w:eastAsia="Arial" w:hAnsi="Arial"/>
                <w:sz w:val="18"/>
                <w:szCs w:val="18"/>
                <w:color w:val="auto"/>
              </w:rPr>
              <w:t>Registration Link:</w:t>
            </w:r>
          </w:p>
        </w:tc>
        <w:tc>
          <w:tcPr>
            <w:tcW w:w="5300" w:type="dxa"/>
            <w:vAlign w:val="bottom"/>
            <w:gridSpan w:val="2"/>
          </w:tcPr>
          <w:p>
            <w:pPr>
              <w:spacing w:after="0" w:line="190" w:lineRule="exact"/>
              <w:rPr>
                <w:sz w:val="20"/>
                <w:szCs w:val="20"/>
                <w:color w:val="auto"/>
              </w:rPr>
            </w:pPr>
            <w:r>
              <w:rPr>
                <w:rFonts w:ascii="Arial" w:cs="Arial" w:eastAsia="Arial" w:hAnsi="Arial"/>
                <w:sz w:val="18"/>
                <w:szCs w:val="18"/>
                <w:color w:val="0563C1"/>
              </w:rPr>
              <w:t>http://apac.directeventreg.com/registration/event/2844497</w:t>
            </w:r>
          </w:p>
        </w:tc>
      </w:tr>
      <w:tr>
        <w:trPr>
          <w:trHeight w:val="20"/>
        </w:trPr>
        <w:tc>
          <w:tcPr>
            <w:tcW w:w="1960" w:type="dxa"/>
            <w:vAlign w:val="bottom"/>
          </w:tcPr>
          <w:p>
            <w:pPr>
              <w:spacing w:after="0" w:line="20" w:lineRule="exact"/>
              <w:rPr>
                <w:sz w:val="1"/>
                <w:szCs w:val="1"/>
                <w:color w:val="auto"/>
              </w:rPr>
            </w:pPr>
          </w:p>
        </w:tc>
        <w:tc>
          <w:tcPr>
            <w:tcW w:w="4160" w:type="dxa"/>
            <w:vAlign w:val="bottom"/>
            <w:shd w:val="clear" w:color="auto" w:fill="0563C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participants must use the link provided above to complete the online registration process in advance of the conference call. Upon registering, each participant will receive a set of participant dial-in numbers, the Direct Event passcode, and a unique access PIN, which can be used to join the conference call.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accessible through April 16, 2020, by dialing the following numbers:</w:t>
      </w:r>
    </w:p>
    <w:p>
      <w:pPr>
        <w:spacing w:after="0" w:line="252"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+61-2-8199-0299</w:t>
      </w:r>
    </w:p>
    <w:p>
      <w:pPr>
        <w:spacing w:after="0" w:line="221"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United States Toll Free:</w:t>
            </w:r>
          </w:p>
        </w:tc>
        <w:tc>
          <w:tcPr>
            <w:tcW w:w="1540" w:type="dxa"/>
            <w:vAlign w:val="bottom"/>
          </w:tcPr>
          <w:p>
            <w:pPr>
              <w:ind w:left="260"/>
              <w:spacing w:after="0"/>
              <w:rPr>
                <w:sz w:val="20"/>
                <w:szCs w:val="20"/>
                <w:color w:val="auto"/>
              </w:rPr>
            </w:pPr>
            <w:r>
              <w:rPr>
                <w:rFonts w:ascii="Arial" w:cs="Arial" w:eastAsia="Arial" w:hAnsi="Arial"/>
                <w:sz w:val="18"/>
                <w:szCs w:val="18"/>
                <w:color w:val="auto"/>
                <w:w w:val="90"/>
              </w:rPr>
              <w:t>+1-855-452-5696</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Mainland China Toll Free:</w:t>
            </w:r>
          </w:p>
        </w:tc>
        <w:tc>
          <w:tcPr>
            <w:tcW w:w="1540" w:type="dxa"/>
            <w:vAlign w:val="bottom"/>
          </w:tcPr>
          <w:p>
            <w:pPr>
              <w:ind w:left="260"/>
              <w:spacing w:after="0"/>
              <w:rPr>
                <w:sz w:val="20"/>
                <w:szCs w:val="20"/>
                <w:color w:val="auto"/>
              </w:rPr>
            </w:pPr>
            <w:r>
              <w:rPr>
                <w:rFonts w:ascii="Arial" w:cs="Arial" w:eastAsia="Arial" w:hAnsi="Arial"/>
                <w:sz w:val="18"/>
                <w:szCs w:val="18"/>
                <w:color w:val="auto"/>
              </w:rPr>
              <w:t>400-632-2162</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Hong Kong, China Toll Free:</w:t>
            </w:r>
          </w:p>
        </w:tc>
        <w:tc>
          <w:tcPr>
            <w:tcW w:w="1540" w:type="dxa"/>
            <w:vAlign w:val="bottom"/>
          </w:tcPr>
          <w:p>
            <w:pPr>
              <w:ind w:left="260"/>
              <w:spacing w:after="0"/>
              <w:rPr>
                <w:sz w:val="20"/>
                <w:szCs w:val="20"/>
                <w:color w:val="auto"/>
              </w:rPr>
            </w:pPr>
            <w:r>
              <w:rPr>
                <w:rFonts w:ascii="Arial" w:cs="Arial" w:eastAsia="Arial" w:hAnsi="Arial"/>
                <w:sz w:val="18"/>
                <w:szCs w:val="18"/>
                <w:color w:val="auto"/>
              </w:rPr>
              <w:t>800-963-117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live and archived webcast of the conference call will also be available at the Company’s investor relations website at investor.canaan-creative.com.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Canaan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Established in 2013, Canaan Inc. provides high-performance computing solutions to efficiently solve complex problems. In 2016, Canaan successfully initiated the production of its first 16nm chip and passed the test to receive China's national high-tech enterprise certification. In 2018, Canaan achieved major technological breakthroughs to launch the K210, the world's first-ever RISC-V-based edge artificial intelligence (AI) chip, which is now widely used for access control in situations such as smart door locks and more. Canaan Inc. is currently focused on the R&amp;D of advanced technology, including such areas as AI chips, AI algorithms, AI architectures, system on a chip (SoC) integration and chip integration. Using the AI chip as its base, Canaan Inc. has established an intellectual value chain. Canaan Inc. also provides a suite of AI service solutions and is able to tailor these solutions to the needs of its partners. For more information, please visit: investor.canaan-creative.com.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contains translations of certain RMB amounts into U.S. dollars ("US$") at specified rates solely for the convenience of the reader. Unless otherwise stated, all translations from RMB to US$ were made at the rate of RMB6.9618 to US$1.00, the noon buying rate in effect on December 31, 2019, in the H.10 statistical release of the Federal Reserve Board. The Company makes no representation that the RMB or US$ amounts referred could be converted into US$ or RMB, as the case may be, at any particular rate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in China; and relevant government policies and regulations relating to the Company and cryptocurrency.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Canaan Inc. does not undertake any obligation to update any forward−looking statement, except as required under applicable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evaluating Canaan’s business, the Company considers and uses adjusted net income as a supplemental measure to review and assess its operating performance. The presentation of this non-GAAP financial measure is not intended to be considered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in isolation or as a substitute for financial information prepared and presented in accordance with U.S. GAAP. The Company defines adjusted net income (loss) as net income (loss) excluding sharebased compensation expense.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Canaan believes that adjusted net income helps to identify underlying trends in the Company’s business that could otherwise be distorted by the effect of the expenses that the Company excludes in adjusted net income. The Company believes that adjusted net income provides useful information about our operating results, enhances the overall understanding of Canaan’s past performance and future prospects and allows for greater visibility with respect to key metrics used by the Company’s management in its financial and operational decision-making.</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non-GAAP financial measure “adjusted net income (loss)” is not defined under U.S. GAAP, is not presented in accordance with U.S. GAAP and has limitations as an analytical tool. One of the key limitations of using adjusted net income (loss) is that it does not reflect all of the items of income and expense that affect the Company’s operations. Share-based compensation has been and may continue to be incurred in Canaan’s business and is not reflected in the presentation of adjusted net income (loss). Further, the non-GAAP financial measure “adjusted net income (loss)” may differ from the non-GAAP information used by other companies, including peer companies, and therefore their comparability may be limited.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Canaan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Shaoke 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+86-137-5090-0683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IR@canaan-creative.com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(347) 396-3281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canaan.ir@icrinc.com</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CANAAN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amounts in thousands of RMB,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1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60" w:type="dxa"/>
            <w:vAlign w:val="bottom"/>
          </w:tcPr>
          <w:p>
            <w:pPr>
              <w:spacing w:after="0"/>
              <w:rPr>
                <w:sz w:val="13"/>
                <w:szCs w:val="13"/>
                <w:color w:val="auto"/>
              </w:rPr>
            </w:pPr>
          </w:p>
        </w:tc>
        <w:tc>
          <w:tcPr>
            <w:tcW w:w="1420" w:type="dxa"/>
            <w:vAlign w:val="bottom"/>
            <w:tcBorders>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440" w:type="dxa"/>
            <w:vAlign w:val="bottom"/>
            <w:tcBorders>
              <w:bottom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3"/>
                <w:szCs w:val="13"/>
                <w:color w:val="auto"/>
              </w:rPr>
            </w:pPr>
          </w:p>
        </w:tc>
        <w:tc>
          <w:tcPr>
            <w:tcW w:w="144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1420" w:type="dxa"/>
            <w:vAlign w:val="bottom"/>
          </w:tcPr>
          <w:p>
            <w:pPr>
              <w:jc w:val="right"/>
              <w:ind w:right="520"/>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1440" w:type="dxa"/>
            <w:vAlign w:val="bottom"/>
          </w:tcPr>
          <w:p>
            <w:pPr>
              <w:jc w:val="center"/>
              <w:ind w:right="20"/>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1440" w:type="dxa"/>
            <w:vAlign w:val="bottom"/>
          </w:tcPr>
          <w:p>
            <w:pPr>
              <w:jc w:val="right"/>
              <w:ind w:right="560"/>
              <w:spacing w:after="0" w:line="155"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258,940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516,607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74,206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Restricted cash</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286,270</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8,239</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11,005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Accounts receivable</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23,687</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2,872</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Inventories</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585,672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196,067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186,737</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206,020</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29,593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Income tax receivable</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27,054</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Amounts due from related parties</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current assets</w:t>
            </w:r>
          </w:p>
        </w:tc>
        <w:tc>
          <w:tcPr>
            <w:tcW w:w="142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1,368,428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940,810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135,139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b w:val="1"/>
                <w:bCs w:val="1"/>
                <w:color w:val="auto"/>
              </w:rPr>
              <w:t>Non-current assets:</w:t>
            </w: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Property, equipment and software</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27,926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22,602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Right-of-use assets, net</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22,764</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6,340</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5,250</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34,266</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50,616</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1,402,694</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991,426</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Short-term debts</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1,049,011</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99,903</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14,350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47,240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99,050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Notes payable</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27,462</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6,904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8,288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Income tax payable</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609</w:t>
            </w:r>
          </w:p>
        </w:tc>
        <w:tc>
          <w:tcPr>
            <w:tcW w:w="1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 and other current liabilities</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57,952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40,691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Lease liabilities, current</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9,838</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current liabilities</w:t>
            </w:r>
          </w:p>
        </w:tc>
        <w:tc>
          <w:tcPr>
            <w:tcW w:w="142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1,161,716</w:t>
            </w:r>
          </w:p>
        </w:tc>
        <w:tc>
          <w:tcPr>
            <w:tcW w:w="1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285,232</w:t>
            </w:r>
          </w:p>
        </w:tc>
        <w:tc>
          <w:tcPr>
            <w:tcW w:w="1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40,971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 non-current</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13,399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liabilities</w:t>
            </w:r>
          </w:p>
        </w:tc>
        <w:tc>
          <w:tcPr>
            <w:tcW w:w="14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1,161,716</w:t>
            </w:r>
          </w:p>
        </w:tc>
        <w:tc>
          <w:tcPr>
            <w:tcW w:w="140" w:type="dxa"/>
            <w:vAlign w:val="bottom"/>
            <w:tcBorders>
              <w:bottom w:val="single" w:sz="8" w:color="CFF0FC"/>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298,631</w:t>
            </w:r>
          </w:p>
        </w:tc>
        <w:tc>
          <w:tcPr>
            <w:tcW w:w="140" w:type="dxa"/>
            <w:vAlign w:val="bottom"/>
            <w:tcBorders>
              <w:bottom w:val="single" w:sz="8" w:color="CFF0FC"/>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42,896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6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60" w:type="dxa"/>
            <w:vAlign w:val="bottom"/>
          </w:tcPr>
          <w:p>
            <w:pPr>
              <w:spacing w:after="0"/>
              <w:rPr>
                <w:sz w:val="20"/>
                <w:szCs w:val="20"/>
                <w:color w:val="auto"/>
              </w:rPr>
            </w:pPr>
            <w:r>
              <w:rPr>
                <w:rFonts w:ascii="Arial" w:cs="Arial" w:eastAsia="Arial" w:hAnsi="Arial"/>
                <w:sz w:val="16"/>
                <w:szCs w:val="16"/>
                <w:color w:val="auto"/>
              </w:rPr>
              <w:t>Ordinary shares (US$0.00000005 par value; 1,000,000,000,000 shares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authorized, 2,000,000,000 and 2,372,222,222 shares issued, 1,948,376,000</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and 2,350,123,270 shares outstanding as of December 31, 2018 and 2019,</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120"/>
              <w:spacing w:after="0"/>
              <w:rPr>
                <w:sz w:val="20"/>
                <w:szCs w:val="20"/>
                <w:color w:val="auto"/>
              </w:rPr>
            </w:pPr>
            <w:r>
              <w:rPr>
                <w:rFonts w:ascii="Arial" w:cs="Arial" w:eastAsia="Arial" w:hAnsi="Arial"/>
                <w:sz w:val="16"/>
                <w:szCs w:val="16"/>
                <w:color w:val="auto"/>
              </w:rPr>
              <w:t>respectively)</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Subscriptions receivable from shareholders</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60" w:type="dxa"/>
            <w:vAlign w:val="bottom"/>
          </w:tcPr>
          <w:p>
            <w:pPr>
              <w:spacing w:after="0"/>
              <w:rPr>
                <w:sz w:val="20"/>
                <w:szCs w:val="20"/>
                <w:color w:val="auto"/>
              </w:rPr>
            </w:pPr>
            <w:r>
              <w:rPr>
                <w:rFonts w:ascii="Arial" w:cs="Arial" w:eastAsia="Arial" w:hAnsi="Arial"/>
                <w:sz w:val="16"/>
                <w:szCs w:val="16"/>
                <w:color w:val="auto"/>
              </w:rPr>
              <w:t>Treasury stocks (US$0.00000005 par value; 51,624,000 and 22,098,952</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120"/>
              <w:spacing w:after="0"/>
              <w:rPr>
                <w:sz w:val="20"/>
                <w:szCs w:val="20"/>
                <w:color w:val="auto"/>
              </w:rPr>
            </w:pPr>
            <w:r>
              <w:rPr>
                <w:rFonts w:ascii="Arial" w:cs="Arial" w:eastAsia="Arial" w:hAnsi="Arial"/>
                <w:sz w:val="16"/>
                <w:szCs w:val="16"/>
                <w:color w:val="auto"/>
              </w:rPr>
              <w:t>shares as of December 31, 2018 and 2019, respectively)</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154,970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1,631,609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234,366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Statutory reserves</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97,307</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97,307</w:t>
            </w:r>
          </w:p>
        </w:tc>
        <w:tc>
          <w:tcPr>
            <w:tcW w:w="14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13,977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(55,542)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Retained earnings (accumulated deficit)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53,931</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(980,579)</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shareholders’ equity</w:t>
            </w: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240,978</w:t>
            </w:r>
          </w:p>
        </w:tc>
        <w:tc>
          <w:tcPr>
            <w:tcW w:w="14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692,795</w:t>
            </w:r>
          </w:p>
        </w:tc>
        <w:tc>
          <w:tcPr>
            <w:tcW w:w="14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99,514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60" w:type="dxa"/>
            <w:vAlign w:val="bottom"/>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1,402,694</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991,426</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6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00"/>
        </w:trPr>
        <w:tc>
          <w:tcPr>
            <w:tcW w:w="66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CANAAN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amounts in thousands of RMB,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8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For the three months ended December 31,</w:t>
            </w:r>
          </w:p>
        </w:tc>
        <w:tc>
          <w:tcPr>
            <w:tcW w:w="37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160" w:type="dxa"/>
            <w:vAlign w:val="bottom"/>
          </w:tcPr>
          <w:p>
            <w:pPr>
              <w:jc w:val="right"/>
              <w:ind w:right="400"/>
              <w:spacing w:after="0" w:line="15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3"/>
                <w:szCs w:val="13"/>
                <w:color w:val="auto"/>
              </w:rPr>
            </w:pPr>
          </w:p>
        </w:tc>
        <w:tc>
          <w:tcPr>
            <w:tcW w:w="1160" w:type="dxa"/>
            <w:vAlign w:val="bottom"/>
          </w:tcPr>
          <w:p>
            <w:pPr>
              <w:jc w:val="center"/>
              <w:ind w:right="20"/>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c>
          <w:tcPr>
            <w:tcW w:w="1160" w:type="dxa"/>
            <w:vAlign w:val="bottom"/>
          </w:tcPr>
          <w:p>
            <w:pPr>
              <w:jc w:val="right"/>
              <w:ind w:right="440"/>
              <w:spacing w:after="0" w:line="155"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160" w:type="dxa"/>
            <w:vAlign w:val="bottom"/>
          </w:tcPr>
          <w:p>
            <w:pPr>
              <w:jc w:val="right"/>
              <w:ind w:right="400"/>
              <w:spacing w:after="0" w:line="15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3"/>
                <w:szCs w:val="13"/>
                <w:color w:val="auto"/>
              </w:rPr>
            </w:pPr>
          </w:p>
        </w:tc>
        <w:tc>
          <w:tcPr>
            <w:tcW w:w="118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3"/>
                <w:szCs w:val="13"/>
                <w:color w:val="auto"/>
              </w:rPr>
            </w:pPr>
          </w:p>
        </w:tc>
        <w:tc>
          <w:tcPr>
            <w:tcW w:w="1160" w:type="dxa"/>
            <w:vAlign w:val="bottom"/>
          </w:tcPr>
          <w:p>
            <w:pPr>
              <w:jc w:val="right"/>
              <w:ind w:right="440"/>
              <w:spacing w:after="0" w:line="155"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revenues</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Products revenue</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276,948</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448,289</w:t>
            </w:r>
          </w:p>
        </w:tc>
        <w:tc>
          <w:tcPr>
            <w:tcW w:w="1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64,393</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2,698,594</w:t>
            </w:r>
          </w:p>
        </w:tc>
        <w:tc>
          <w:tcPr>
            <w:tcW w:w="10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1,392,859</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200,072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Leases revenue</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11,267</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24,548</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Service revenue</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1,877</w:t>
            </w:r>
          </w:p>
        </w:tc>
        <w:tc>
          <w:tcPr>
            <w:tcW w:w="1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5,956</w:t>
            </w:r>
          </w:p>
        </w:tc>
        <w:tc>
          <w:tcPr>
            <w:tcW w:w="10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2,668</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Other revenues</w:t>
            </w: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1,814</w:t>
            </w:r>
          </w:p>
        </w:tc>
        <w:tc>
          <w:tcPr>
            <w:tcW w:w="1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2,548</w:t>
            </w:r>
          </w:p>
        </w:tc>
        <w:tc>
          <w:tcPr>
            <w:tcW w:w="1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b w:val="1"/>
                <w:bCs w:val="1"/>
                <w:color w:val="auto"/>
              </w:rPr>
              <w:t>Total net revenues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277,680</w:t>
            </w:r>
          </w:p>
        </w:tc>
        <w:tc>
          <w:tcPr>
            <w:tcW w:w="10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463,247</w:t>
            </w:r>
          </w:p>
        </w:tc>
        <w:tc>
          <w:tcPr>
            <w:tcW w:w="1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66,541</w:t>
            </w:r>
          </w:p>
        </w:tc>
        <w:tc>
          <w:tcPr>
            <w:tcW w:w="10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2,705,291</w:t>
            </w:r>
          </w:p>
        </w:tc>
        <w:tc>
          <w:tcPr>
            <w:tcW w:w="10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1,422,623</w:t>
            </w:r>
          </w:p>
        </w:tc>
        <w:tc>
          <w:tcPr>
            <w:tcW w:w="10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204,347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(266,055)</w:t>
            </w:r>
          </w:p>
        </w:tc>
        <w:tc>
          <w:tcPr>
            <w:tcW w:w="1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(1,136,676)</w:t>
            </w:r>
          </w:p>
        </w:tc>
        <w:tc>
          <w:tcPr>
            <w:tcW w:w="1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(163,273)</w:t>
            </w:r>
          </w:p>
        </w:tc>
        <w:tc>
          <w:tcPr>
            <w:tcW w:w="1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(2,197,172)</w:t>
            </w:r>
          </w:p>
        </w:tc>
        <w:tc>
          <w:tcPr>
            <w:tcW w:w="1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(1,938,626)</w:t>
            </w:r>
          </w:p>
        </w:tc>
        <w:tc>
          <w:tcPr>
            <w:tcW w:w="1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Gross profit (loss)</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11,625</w:t>
            </w:r>
          </w:p>
        </w:tc>
        <w:tc>
          <w:tcPr>
            <w:tcW w:w="10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(673,429)</w:t>
            </w:r>
          </w:p>
        </w:tc>
        <w:tc>
          <w:tcPr>
            <w:tcW w:w="12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(96,732)</w:t>
            </w:r>
          </w:p>
        </w:tc>
        <w:tc>
          <w:tcPr>
            <w:tcW w:w="10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508,119</w:t>
            </w:r>
          </w:p>
        </w:tc>
        <w:tc>
          <w:tcPr>
            <w:tcW w:w="10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(516,003)</w:t>
            </w:r>
          </w:p>
        </w:tc>
        <w:tc>
          <w:tcPr>
            <w:tcW w:w="10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tcPr>
          <w:p>
            <w:pPr>
              <w:jc w:val="right"/>
              <w:spacing w:after="0"/>
              <w:rPr>
                <w:sz w:val="20"/>
                <w:szCs w:val="20"/>
                <w:color w:val="auto"/>
              </w:rPr>
            </w:pPr>
            <w:r>
              <w:rPr>
                <w:rFonts w:ascii="Arial" w:cs="Arial" w:eastAsia="Arial" w:hAnsi="Arial"/>
                <w:sz w:val="16"/>
                <w:szCs w:val="16"/>
                <w:color w:val="auto"/>
              </w:rPr>
              <w:t>(51,140)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(63,609)</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(9,137)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(189,680)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(168,982)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(4,419)</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(7,684)</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(38,731)</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(21,917)</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 expenses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(30,590)</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(56,446)</w:t>
            </w:r>
          </w:p>
        </w:tc>
        <w:tc>
          <w:tcPr>
            <w:tcW w:w="1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(8,108)</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(146,684)</w:t>
            </w:r>
          </w:p>
        </w:tc>
        <w:tc>
          <w:tcPr>
            <w:tcW w:w="10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(347,633)</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(86,149)</w:t>
            </w:r>
          </w:p>
        </w:tc>
        <w:tc>
          <w:tcPr>
            <w:tcW w:w="10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(127,739)</w:t>
            </w:r>
          </w:p>
        </w:tc>
        <w:tc>
          <w:tcPr>
            <w:tcW w:w="12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(18,394)</w:t>
            </w:r>
          </w:p>
        </w:tc>
        <w:tc>
          <w:tcPr>
            <w:tcW w:w="10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(375,095)</w:t>
            </w:r>
          </w:p>
        </w:tc>
        <w:tc>
          <w:tcPr>
            <w:tcW w:w="100" w:type="dxa"/>
            <w:vAlign w:val="bottom"/>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(538,532)</w:t>
            </w:r>
          </w:p>
        </w:tc>
        <w:tc>
          <w:tcPr>
            <w:tcW w:w="10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b w:val="1"/>
                <w:bCs w:val="1"/>
                <w:color w:val="auto"/>
              </w:rPr>
              <w:t>Income (loss) from operations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1,793</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4,234</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3,853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Investment income</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3,055</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and guarantee fee</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(18,889)</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(53,069)</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(20,038)</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Foreign exchange (loss) gains, net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6,809</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Value added tax refunds</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7,111</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110,231</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(loss) income,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2,867</w:t>
            </w:r>
          </w:p>
        </w:tc>
        <w:tc>
          <w:tcPr>
            <w:tcW w:w="1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3,838</w:t>
            </w:r>
          </w:p>
        </w:tc>
        <w:tc>
          <w:tcPr>
            <w:tcW w:w="10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25,093</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(loss) before income tax</w:t>
            </w: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expenses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(83,205)</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(798,211)</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(114,656)</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200,242</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(1,034,510)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Income tax expense</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55,689</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(77,810)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income (loss)</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(798,211)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(114,656)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122,432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(1,034,510)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net of nil tax</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2,306</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1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(65,230)</w:t>
            </w:r>
          </w:p>
        </w:tc>
        <w:tc>
          <w:tcPr>
            <w:tcW w:w="10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9,688</w:t>
            </w: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comprehensive income (loss)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(25,210)</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(801,483)</w:t>
            </w: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(115,126)</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57,202</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(1,024,822)</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Weighted average number of shares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20"/>
              <w:spacing w:after="0"/>
              <w:rPr>
                <w:sz w:val="20"/>
                <w:szCs w:val="20"/>
                <w:color w:val="auto"/>
              </w:rPr>
            </w:pPr>
            <w:r>
              <w:rPr>
                <w:rFonts w:ascii="Arial" w:cs="Arial" w:eastAsia="Arial" w:hAnsi="Arial"/>
                <w:sz w:val="16"/>
                <w:szCs w:val="16"/>
                <w:b w:val="1"/>
                <w:bCs w:val="1"/>
                <w:color w:val="auto"/>
              </w:rPr>
              <w:t>used in per share calculation: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 Basic</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9"/>
              </w:rPr>
              <w:t>1,948,376,000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9"/>
              </w:rPr>
              <w:t>2,240,601,754</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9"/>
              </w:rPr>
              <w:t>2,240,601,754</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9"/>
              </w:rPr>
              <w:t>1,964,499,660</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99"/>
              </w:rPr>
              <w:t>2,153,172,769</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9"/>
              </w:rPr>
              <w:t>2,153,172,769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 Diluted</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w w:val="99"/>
              </w:rPr>
              <w:t>1,948,376,000</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w w:val="99"/>
              </w:rPr>
              <w:t>2,240,601,754</w:t>
            </w:r>
          </w:p>
        </w:tc>
        <w:tc>
          <w:tcPr>
            <w:tcW w:w="1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w w:val="99"/>
              </w:rPr>
              <w:t>2,240,601,754</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w w:val="99"/>
              </w:rPr>
              <w:t>1,978,161,073</w:t>
            </w:r>
          </w:p>
        </w:tc>
        <w:tc>
          <w:tcPr>
            <w:tcW w:w="10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w w:val="99"/>
              </w:rPr>
              <w:t>2,153,172,769</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w w:val="99"/>
              </w:rPr>
              <w:t>2,153,172,769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earnings (loss) per share (cent</w:t>
            </w: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per share)</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 Basic</w:t>
            </w:r>
          </w:p>
        </w:tc>
        <w:tc>
          <w:tcPr>
            <w:tcW w:w="11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(35.62)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(48.05)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 Diluted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(35.62)</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(48.05)</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rPr>
                <w:sz w:val="20"/>
                <w:szCs w:val="20"/>
                <w:color w:val="auto"/>
              </w:rPr>
            </w:pPr>
            <w:r>
              <w:rPr>
                <w:rFonts w:ascii="Arial" w:cs="Arial" w:eastAsia="Arial" w:hAnsi="Arial"/>
                <w:sz w:val="16"/>
                <w:szCs w:val="16"/>
                <w:b w:val="1"/>
                <w:bCs w:val="1"/>
                <w:color w:val="auto"/>
              </w:rPr>
              <w:t>Share-based compensation 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20"/>
              <w:spacing w:after="0"/>
              <w:rPr>
                <w:sz w:val="20"/>
                <w:szCs w:val="20"/>
                <w:color w:val="auto"/>
              </w:rPr>
            </w:pPr>
            <w:r>
              <w:rPr>
                <w:rFonts w:ascii="Arial" w:cs="Arial" w:eastAsia="Arial" w:hAnsi="Arial"/>
                <w:sz w:val="16"/>
                <w:szCs w:val="16"/>
                <w:b w:val="1"/>
                <w:bCs w:val="1"/>
                <w:color w:val="auto"/>
              </w:rPr>
              <w:t>were included in: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2,401</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17,649</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2,535</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9,611</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22,465</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1,779</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30,018</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4,312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7,887</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247,419</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2"/>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00"/>
        </w:trPr>
        <w:tc>
          <w:tcPr>
            <w:tcW w:w="37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table below sets forth a reconciliation of net income (loss) to adjusted net income (loss) for the years/period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38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For the three months ended December 31,</w:t>
            </w:r>
          </w:p>
        </w:tc>
        <w:tc>
          <w:tcPr>
            <w:tcW w:w="2800" w:type="dxa"/>
            <w:vAlign w:val="bottom"/>
            <w:gridSpan w:val="5"/>
          </w:tcPr>
          <w:p>
            <w:pPr>
              <w:jc w:val="center"/>
              <w:ind w:left="604"/>
              <w:spacing w:after="0"/>
              <w:rPr>
                <w:sz w:val="20"/>
                <w:szCs w:val="20"/>
                <w:color w:val="auto"/>
              </w:rPr>
            </w:pPr>
            <w:r>
              <w:rPr>
                <w:rFonts w:ascii="Arial" w:cs="Arial" w:eastAsia="Arial" w:hAnsi="Arial"/>
                <w:sz w:val="14"/>
                <w:szCs w:val="14"/>
                <w:b w:val="1"/>
                <w:bCs w:val="1"/>
                <w:color w:val="auto"/>
                <w:w w:val="91"/>
              </w:rPr>
              <w:t>For the years ended December 31,</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76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40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24"/>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r>
      <w:tr>
        <w:trPr>
          <w:trHeight w:val="155"/>
        </w:trPr>
        <w:tc>
          <w:tcPr>
            <w:tcW w:w="3760" w:type="dxa"/>
            <w:vAlign w:val="bottom"/>
          </w:tcPr>
          <w:p>
            <w:pPr>
              <w:spacing w:after="0"/>
              <w:rPr>
                <w:sz w:val="13"/>
                <w:szCs w:val="13"/>
                <w:color w:val="auto"/>
              </w:rPr>
            </w:pPr>
          </w:p>
        </w:tc>
        <w:tc>
          <w:tcPr>
            <w:tcW w:w="720" w:type="dxa"/>
            <w:vAlign w:val="bottom"/>
          </w:tcPr>
          <w:p>
            <w:pPr>
              <w:jc w:val="center"/>
              <w:ind w:left="268"/>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43"/>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c>
          <w:tcPr>
            <w:tcW w:w="1180" w:type="dxa"/>
            <w:vAlign w:val="bottom"/>
          </w:tcPr>
          <w:p>
            <w:pPr>
              <w:jc w:val="right"/>
              <w:ind w:right="443"/>
              <w:spacing w:after="0" w:line="155"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120" w:type="dxa"/>
            <w:vAlign w:val="bottom"/>
          </w:tcPr>
          <w:p>
            <w:pPr>
              <w:jc w:val="right"/>
              <w:ind w:right="384"/>
              <w:spacing w:after="0" w:line="15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3"/>
                <w:szCs w:val="13"/>
                <w:color w:val="auto"/>
              </w:rPr>
            </w:pPr>
          </w:p>
        </w:tc>
        <w:tc>
          <w:tcPr>
            <w:tcW w:w="1120" w:type="dxa"/>
            <w:vAlign w:val="bottom"/>
          </w:tcPr>
          <w:p>
            <w:pPr>
              <w:jc w:val="center"/>
              <w:ind w:right="23"/>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ind w:right="444"/>
              <w:spacing w:after="0" w:line="155" w:lineRule="exact"/>
              <w:rPr>
                <w:sz w:val="20"/>
                <w:szCs w:val="20"/>
                <w:color w:val="auto"/>
              </w:rPr>
            </w:pPr>
            <w:r>
              <w:rPr>
                <w:rFonts w:ascii="Arial" w:cs="Arial" w:eastAsia="Arial" w:hAnsi="Arial"/>
                <w:sz w:val="14"/>
                <w:szCs w:val="14"/>
                <w:b w:val="1"/>
                <w:bCs w:val="1"/>
                <w:color w:val="auto"/>
                <w:w w:val="95"/>
              </w:rPr>
              <w:t>US$</w:t>
            </w:r>
          </w:p>
        </w:tc>
        <w:tc>
          <w:tcPr>
            <w:tcW w:w="20" w:type="dxa"/>
            <w:vAlign w:val="bottom"/>
          </w:tcPr>
          <w:p>
            <w:pPr>
              <w:spacing w:after="0"/>
              <w:rPr>
                <w:sz w:val="13"/>
                <w:szCs w:val="13"/>
                <w:color w:val="auto"/>
              </w:rPr>
            </w:pPr>
          </w:p>
        </w:tc>
      </w:tr>
      <w:tr>
        <w:trPr>
          <w:trHeight w:val="216"/>
        </w:trPr>
        <w:tc>
          <w:tcPr>
            <w:tcW w:w="4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(27.5)</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(798.2)</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(1,034.5)</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w:t>
            </w:r>
          </w:p>
        </w:tc>
        <w:tc>
          <w:tcPr>
            <w:tcW w:w="20" w:type="dxa"/>
            <w:vAlign w:val="bottom"/>
          </w:tcPr>
          <w:p>
            <w:pPr>
              <w:spacing w:after="0"/>
              <w:rPr>
                <w:sz w:val="18"/>
                <w:szCs w:val="18"/>
                <w:color w:val="auto"/>
              </w:rPr>
            </w:pPr>
          </w:p>
        </w:tc>
      </w:tr>
      <w:tr>
        <w:trPr>
          <w:trHeight w:val="213"/>
        </w:trPr>
        <w:tc>
          <w:tcPr>
            <w:tcW w:w="3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Add: Share-based compensation expense</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270.2</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38.8</w:t>
            </w:r>
          </w:p>
        </w:tc>
        <w:tc>
          <w:tcPr>
            <w:tcW w:w="20" w:type="dxa"/>
            <w:vAlign w:val="bottom"/>
          </w:tcPr>
          <w:p>
            <w:pPr>
              <w:spacing w:after="0"/>
              <w:rPr>
                <w:sz w:val="18"/>
                <w:szCs w:val="18"/>
                <w:color w:val="auto"/>
              </w:rPr>
            </w:pPr>
          </w:p>
        </w:tc>
      </w:tr>
      <w:tr>
        <w:trPr>
          <w:trHeight w:val="209"/>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Adjusted net income (loss)</w:t>
            </w:r>
          </w:p>
        </w:tc>
        <w:tc>
          <w:tcPr>
            <w:tcW w:w="7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5"/>
              </w:rPr>
              <w:t>(23.1)</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(750.5)</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(764.3)</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(109.8)</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9"/>
        </w:trPr>
        <w:tc>
          <w:tcPr>
            <w:tcW w:w="3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r>
    </w:tbl>
    <w:p>
      <w:pPr>
        <w:spacing w:after="0" w:line="1" w:lineRule="exact"/>
        <w:rPr>
          <w:sz w:val="20"/>
          <w:szCs w:val="20"/>
          <w:color w:val="auto"/>
        </w:rPr>
      </w:pP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2020-04-09T05:08:56Z</dcterms:created>
  <dcterms:modified xsi:type="dcterms:W3CDTF">2020-04-09T05:08:56Z</dcterms:modified>
</cp:coreProperties>
</file>