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5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4"/>
                <w:szCs w:val="24"/>
                <w:color w:val="auto"/>
              </w:rPr>
            </w:pPr>
          </w:p>
        </w:tc>
        <w:tc>
          <w:tcPr>
            <w:tcW w:w="9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Canaan Inc. Awarded Order from New Customer CleanSpark for Avalon A1566I Miners</w:t>
            </w:r>
          </w:p>
        </w:tc>
      </w:tr>
      <w:tr>
        <w:trPr>
          <w:trHeight w:val="696"/>
        </w:trPr>
        <w:tc>
          <w:tcPr>
            <w:tcW w:w="90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38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Canaan Inc.</w:t>
      </w:r>
    </w:p>
    <w:p>
      <w:pPr>
        <w:spacing w:after="0" w:line="225"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 Awarded Order from New Customer CleanSpark for Avalon A1566I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Contributing to CleanSpark’s Immersion Mining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November 1, 2024 /PRNewswire/ -- Canaan Inc. (NASDAQ: CAN) (“Canaan” or the “Company”), a leading high-performance computing solutions provider, today announced that Canaan U.S. Inc., a wholly owned subsidiary of the Company, has entered into a purchase agreement with a new customer, CleanSpark Inc., for its Avalon A1566I miners.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purchase agreement, Canaan U.S. Inc. will provide CleanSpark with 3800 Avalon A1566I Immersion Cooling Miners. The miners, with average compute power of 249 Terahash per second (TH/s) without overclocking, are scheduled to be delivered in the fourth quarter of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thrilled that CleanSpark has chosen Canaan’s high-performance mining solutions to advance their state-of-the-art immersion facilities. CleanSpark operates one of the industry's highest-performing and most power-efficient mining fleets, led by a skilled team committed to maximizing efficiency and pursuing strategic site acquisitions,” said Mr. Nangeng Zhang, Chairman and CEO of Canaan. “We look forward to seeing our immersion-cooled miners integrated into CleanSpark’s impressive, vertically integrated system.”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“CleanSpark’s choice of Canaan miners highlights the strength of our products and our shared dedication to shaping the future of Bitcoin mining,” Mr. Zhang continued. “Our commitment to supporting the North American mining community is unwavering, and we are excited about the new opportunities this collaboration opens as we expand our regional presence.”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Canaan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in bitcoin's history under the brand name Avalon. In 2019, Canaan completed its initial public offering on the Nasdaq Global Market. To learn more about Canaan, please visit https://www.canaan.io/.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Canaan Inc.’s anticipated financing plans and its intended use of proceeds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in China;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Xi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IR@canaan-creative.com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(347) 396-3281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canaan.ir@icrinc.com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2024-11-01T06:58:04Z</dcterms:created>
  <dcterms:modified xsi:type="dcterms:W3CDTF">2024-11-01T06:58:04Z</dcterms:modified>
</cp:coreProperties>
</file>