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51d1_6k.htm"/>
      <w:bookmarkStart w:id="1" w:name="kstm262495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28" w:type="dxa"/>
          <w:right w:w="0" w:type="dxa"/>
        </w:tblCellMar>
      </w:tblPr>
      <w:tblGrid>
        <w:gridCol w:w="1205"/>
        <w:gridCol w:w="60"/>
        <w:gridCol w:w="578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78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4951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5780" w:type="dxa"/>
            <w:tcBorders/>
            <w:tcMar>
              <w:bottom w:w="0" w:type="dxa"/>
            </w:tcMar>
            <w:vAlign w:val="center"/>
          </w:tcPr>
          <w:p>
            <w:pPr>
              <w:pStyle w:val="TableContents"/>
              <w:bidi w:val="0"/>
              <w:spacing w:before="0" w:after="283"/>
              <w:jc w:val="both"/>
              <w:rPr/>
            </w:pPr>
            <w:hyperlink w:anchor="tm2624951d1_ex99-1.htm">
              <w:r>
                <w:rPr>
                  <w:rStyle w:val="InternetLink"/>
                  <w:rFonts w:ascii="Times New Roman;Times;Serif" w:hAnsi="Times New Roman;Times;Serif"/>
                  <w:sz w:val="20"/>
                </w:rPr>
                <w:t>Canaan Inc. Reports Unaudited Second Quarter 2026 Financial Results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4951d1_ex99-1.htm"/>
      <w:bookmarkStart w:id="3" w:name="kstm2624951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Reports Unaudited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Reached a record 1,915 BTC and 3,952 ETH cryptocurrency treasury</w:t>
      </w:r>
      <w:r>
        <w:rPr>
          <w:rFonts w:ascii="Times New Roman;Times;Serif" w:hAnsi="Times New Roman;Times;Serif"/>
          <w:b w:val="false"/>
          <w:i/>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Mined 243 bitcoins in the Second Quarter 2026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Repurchased approximately 16.4 million ADSs for an Aggregate of US$7.4 million as of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8, 2026 /PRNewswire/ -- Canaan Inc. (NASDAQ: CAN) (“Canaan” or the “Company”), an innovator in compute and energy infrastructure, today announced its unaudited financial results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Operating and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20" w:type="dxa"/>
          <w:right w:w="180" w:type="dxa"/>
        </w:tblCellMar>
      </w:tblPr>
      <w:tblGrid>
        <w:gridCol w:w="4735"/>
        <w:gridCol w:w="3148"/>
        <w:gridCol w:w="2322"/>
      </w:tblGrid>
      <w:tr>
        <w:trPr/>
        <w:tc>
          <w:tcPr>
            <w:tcW w:w="4735" w:type="dxa"/>
            <w:tcBorders>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Metrics</w:t>
            </w:r>
          </w:p>
        </w:tc>
        <w:tc>
          <w:tcPr>
            <w:tcW w:w="3148" w:type="dxa"/>
            <w:tcBorders>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Second Quarter 2026</w:t>
            </w:r>
          </w:p>
        </w:tc>
        <w:tc>
          <w:tcPr>
            <w:tcW w:w="2322" w:type="dxa"/>
            <w:tcBorders>
              <w:bottom w:val="single" w:sz="8" w:space="0" w:color="000000"/>
            </w:tcBorders>
            <w:tcMar>
              <w:righ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takeaways</w:t>
            </w:r>
          </w:p>
        </w:tc>
      </w:tr>
      <w:tr>
        <w:trPr/>
        <w:tc>
          <w:tcPr>
            <w:tcW w:w="4735"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BTC produced</w:t>
            </w:r>
          </w:p>
        </w:tc>
        <w:tc>
          <w:tcPr>
            <w:tcW w:w="3148"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 BTC</w:t>
            </w:r>
          </w:p>
        </w:tc>
        <w:tc>
          <w:tcPr>
            <w:tcW w:w="2322" w:type="dxa"/>
            <w:tcBorders>
              <w:bottom w:val="single" w:sz="8" w:space="0" w:color="000000"/>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Continued mining output</w:t>
            </w:r>
          </w:p>
        </w:tc>
      </w:tr>
      <w:tr>
        <w:trPr/>
        <w:tc>
          <w:tcPr>
            <w:tcW w:w="4735"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Crypto treasury</w:t>
            </w:r>
          </w:p>
        </w:tc>
        <w:tc>
          <w:tcPr>
            <w:tcW w:w="3148"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1,915.50 BTC / 3,951.70 ETH</w:t>
            </w:r>
          </w:p>
        </w:tc>
        <w:tc>
          <w:tcPr>
            <w:tcW w:w="2322" w:type="dxa"/>
            <w:tcBorders>
              <w:bottom w:val="single" w:sz="8" w:space="0" w:color="000000"/>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Record-high treasury</w:t>
            </w:r>
          </w:p>
        </w:tc>
      </w:tr>
      <w:tr>
        <w:trPr/>
        <w:tc>
          <w:tcPr>
            <w:tcW w:w="4735"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Installed mining computing power (Non-JV)</w:t>
            </w:r>
          </w:p>
        </w:tc>
        <w:tc>
          <w:tcPr>
            <w:tcW w:w="3148"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 EH/s</w:t>
            </w:r>
          </w:p>
        </w:tc>
        <w:tc>
          <w:tcPr>
            <w:tcW w:w="2322" w:type="dxa"/>
            <w:tcBorders>
              <w:bottom w:val="single" w:sz="8" w:space="0" w:color="000000"/>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23.3% YoY</w:t>
            </w:r>
          </w:p>
        </w:tc>
      </w:tr>
      <w:tr>
        <w:trPr/>
        <w:tc>
          <w:tcPr>
            <w:tcW w:w="4735"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All-in power cost</w:t>
            </w:r>
          </w:p>
        </w:tc>
        <w:tc>
          <w:tcPr>
            <w:tcW w:w="3148"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~US$0.043 /kWh</w:t>
            </w:r>
          </w:p>
        </w:tc>
        <w:tc>
          <w:tcPr>
            <w:tcW w:w="2322" w:type="dxa"/>
            <w:tcBorders>
              <w:bottom w:val="single" w:sz="8" w:space="0" w:color="000000"/>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Competitive mining cost base</w:t>
            </w:r>
          </w:p>
        </w:tc>
      </w:tr>
      <w:tr>
        <w:trPr/>
        <w:tc>
          <w:tcPr>
            <w:tcW w:w="4735"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ABC Projects</w:t>
            </w:r>
          </w:p>
        </w:tc>
        <w:tc>
          <w:tcPr>
            <w:tcW w:w="3148" w:type="dxa"/>
            <w:tcBorders>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 interest / 4.85 EH/s</w:t>
              <w:br/>
              <w:t>installed hashrate by the end of July 2026</w:t>
            </w:r>
          </w:p>
        </w:tc>
        <w:tc>
          <w:tcPr>
            <w:tcW w:w="2322" w:type="dxa"/>
            <w:tcBorders>
              <w:bottom w:val="single" w:sz="8" w:space="0" w:color="000000"/>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Steady fleet upgrade</w:t>
            </w:r>
          </w:p>
        </w:tc>
      </w:tr>
      <w:tr>
        <w:trPr/>
        <w:tc>
          <w:tcPr>
            <w:tcW w:w="4735" w:type="dxa"/>
            <w:tcBorders>
              <w:right w:val="single" w:sz="8" w:space="0" w:color="000000"/>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repurchased under current share repurchase program</w:t>
            </w:r>
          </w:p>
        </w:tc>
        <w:tc>
          <w:tcPr>
            <w:tcW w:w="3148" w:type="dxa"/>
            <w:tcBorders>
              <w:right w:val="single" w:sz="8"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million ADSs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US$7.4 million</w:t>
            </w:r>
          </w:p>
        </w:tc>
        <w:tc>
          <w:tcPr>
            <w:tcW w:w="2322" w:type="dxa"/>
            <w:tcBorders/>
            <w:tcMar>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Disciplined capital allocation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Nangeng Zhang, chairman, and chief executive officer of Canaan, commented, “Q2 2026 presented a difficult period for bitcoin mining, as renewed bitcoin price pressure, weaker mining economics, and seasonal power constraints weighed on equipment demand and profitability. Our team responded by staying close to customers, matching production to demand, and protecting liquidity. We generated US$31.9 million in total revenue with 2.5 EH/s of computing power sold during the second quarter. Our mining operations produced 243 bitcoins and continued to generate positive cash contribution before depreciation, supported by competitive power economics, while our digital asset treasury reached a record 1,915 BTC and 3,952 ETH at quarter-end. Beyond revenue generation, we kept our inventory lean, tightened spending and cash-flow management, and further streamlined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Despite the quarter’s market headwinds, we focused on building the capabilities that we believe are necessary for Canaan’s next phase. Together with our partner, we advanced the fleet upgrade at Project ABC, where installed hashrate reached 4.85 EH/s by the end of July. We will continue to explore cost-advantaged sites that can support efficient deployment and cash generation, while advancing collaboration around compute-to-heat reuse applications. On the product side, we kept optimizing the A16 series, focusing on cost-effective air-cooled models and high-temperature water-cooled models, and developed new Avalon Home products for household heating applications, with mass-production preparations underway for the winter heating season. In parallel, we continued advancing our efforts on long-term power resources in North America with further progress. We will provide updates when we reach an appropriate stage for disclosure. As we expand beyond mining equipment and operations into compute-plus-energy infrastructure, these initiatives are designed to improve fleet efficiency, broaden our operating flexibility, and strengthen our foundation for long-term value creation as the industry evolves.”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Defined as the total number of bitcoins and other cryptocurrencies owned by the Company on its Balance Sheet, including any bitcoins receivable, excluding bitcoins that the Company has received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 “James” Cheng, chief financial officer of Canaan, stated, “We navigated a demanding Q2 market and generated US$31.9 million in total revenue. Product revenue was US$13.6 million, reflecting softer demand for mining rigs and a lower average selling price for computing power, while mining revenue recorded US$17.7 million amidst bitcoin price pressure and seasonal curtailments. We kept mining-machine production costs relatively stable and held our all-in power cost at a competitive level of around US$0.04/kWh across our mining operations. Nevertheless, our reported results were also affected by several non-cash items, including a US$25.3 million inventory write-down, prepayment write-down, and provision for reserve for inventory purchase commitments, a US$9.2 million impairment of property and equipment, and a US$18.2 million loss of fair value change in cryptocurrency, all of which resulted from a decrease in cryptocurrency prices during the second quarter. These accounting charges weighed on our bottom line but did not alter our focus on cost control, liquidity, and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we enter the second half of 2026, we intend to maintain disciplined inventory levels, preserve financial flexibility, and direct resources toward securing power capacity for our compute-energy infrastructure strategy. We are also applying a more active capital-allocation framework to monetize a portion of our digital asset treasury to fund stock repurchases under the existing program. The Company has deployed an aggregate US$7.4 million to repurchase 16.4 million ADSs under the current share repurchase plan as of today, alongside management’s continued share purchases using their personal funds. We believe the Company’s current equity valuation understates the combination of our digital asset treasury, cash liquidity, and our mining operations, which continue to generate bitcoin rewards. Repurchasing shares represents an attractive use of capital alongside the exploration of lower-cost power and infrastructure. We will continue balancing near-term resilience with opportunities that can strengthen per-share value and support Canaan’s long-term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 the second quarter of 2026 were US$31.9 million, compared to US$62.7 million in the first quarter of 2026 and US$100.2 million in the same period of 2025. Total revenues consisted of US$13.6 million in products revenue, US$17.7 million in mining revenue, and US$0.6 million in other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Products revenue</w:t>
      </w:r>
      <w:r>
        <w:rPr>
          <w:rFonts w:ascii="Times New Roman;Times;Serif" w:hAnsi="Times New Roman;Times;Serif"/>
          <w:b w:val="false"/>
          <w:i w:val="false"/>
          <w:caps w:val="false"/>
          <w:smallCaps w:val="false"/>
          <w:sz w:val="20"/>
        </w:rPr>
        <w:t xml:space="preserve"> in the second quarter of 2026 was US$13.6 million, compared to US$42.9 million in the first quarter of 2026 and US$71.9 million in the same period of 2025. The sequential and year-over-year decreases were mainly due to the decreased computing power sold and average selling price, resulting from a tightening of overall market demand led by the decline in the bitcoin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Mining revenue</w:t>
      </w:r>
      <w:r>
        <w:rPr>
          <w:rFonts w:ascii="Times New Roman;Times;Serif" w:hAnsi="Times New Roman;Times;Serif"/>
          <w:b w:val="false"/>
          <w:i w:val="false"/>
          <w:caps w:val="false"/>
          <w:smallCaps w:val="false"/>
          <w:sz w:val="20"/>
        </w:rPr>
        <w:t xml:space="preserve"> in the second quarter of 2026 was US$17.7 million, compared to US$19.1 million in the first quarter of 2026 and US$28.1 million in the same period of 2025. The sequential and year-over-year decreases were mainly due to the decrease in the average bitcoin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in the second quarter of 2026 was US$61.2 million, compared to US$85.6 million in the first quarter of 2026 and US$90.9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Products costs</w:t>
      </w:r>
      <w:r>
        <w:rPr>
          <w:rFonts w:ascii="Times New Roman;Times;Serif" w:hAnsi="Times New Roman;Times;Serif"/>
          <w:b w:val="false"/>
          <w:i w:val="false"/>
          <w:caps w:val="false"/>
          <w:smallCaps w:val="false"/>
          <w:sz w:val="20"/>
        </w:rPr>
        <w:t xml:space="preserve"> in the second quarter of 2026 were US$40.3 million, compared to US$62.4 million in the first quarter of 2026 and US$58.8 million in the same period of 2025. The sequential and year-over-year decreases were consistent with the decrease in computing power sold. The inventory write-down, prepayment write-down, and provision for reserve for inventory purchase commitments accrued for this quarter were US$25.3 million, compared to the inventory write-down, prepayment write-down, and provision for reserve for inventory purchase commitments amounting to US$24.5 million for the first quarter of 2026 and the inventory write-down of US$1.0 million for the same period of 2025. Products costs consist of direct production costs of mining machines, and indirect costs related to production, as well as inventory write-down, prepayment write-down, and provision for reserve for inventory 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Mining costs</w:t>
      </w:r>
      <w:r>
        <w:rPr>
          <w:rFonts w:ascii="Times New Roman;Times;Serif" w:hAnsi="Times New Roman;Times;Serif"/>
          <w:b w:val="false"/>
          <w:i w:val="false"/>
          <w:caps w:val="false"/>
          <w:smallCaps w:val="false"/>
          <w:sz w:val="20"/>
        </w:rPr>
        <w:t xml:space="preserve"> in the second quarter of 2026 were US$20.4 million, compared to US$22.7 million in the first quarter of 2026 and US$32.0 million in the same period of 2025. Mining costs herein consist of direct production costs of mining operations, including electricity and hosting, as well as depreciation of deployed mining machines. The sequential and year-over-year decreases were mainly due to the decreased energized computing power. The depreciation in this quarter for deployed mining machines was US$6.3 million, compared to US$5.8 million in the first quarter of 2026 and US$10.5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loss</w:t>
      </w:r>
      <w:r>
        <w:rPr>
          <w:rFonts w:ascii="Times New Roman;Times;Serif" w:hAnsi="Times New Roman;Times;Serif"/>
          <w:b w:val="false"/>
          <w:i w:val="false"/>
          <w:caps w:val="false"/>
          <w:smallCaps w:val="false"/>
          <w:sz w:val="20"/>
        </w:rPr>
        <w:t xml:space="preserve"> in the second quarter of 2026 was US$29.3 million, compared to a gross loss of US$22.9 million in the first quarter of 2026 and a gross profit of US$9.3 thousand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in the second quarter of 2026 were US$40.1 million, compared to US$31.4 million in the first quarter of 2026 and US$36.4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 the second quarter of 2026 were US$14.9 million, compared to US$15.4 million in the first quarter of 2026 and US$16.4 million in the same period of 2025. The sequential decrease was mainly due to a decrease of US$0.3 million in staff costs. The year-over-year decrease was mainly due to a decrease of US$4.1 million in staff costs, a decrease of US$0.7 million in share-based compensation expenses, partially offset by an increase of US$3.7 million in research and development expenditure. Research and development expenses in the second quarter of 2026 also included share-based compensation expenses of US$0.6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 the second quarter of 2026 were US$1.9 million, compared to US$1.2 million in the first quarter of 2026 and US$4.5 million in the same period of 2025. The sequential increase was mainly due to an increase of US$0.6 million in staff costs. The year-over-year decrease was mainly attributable to a decrease of US$2.3 million in staff costs. Sales and marketing expenses in the second quarter of 2026 also included share-based compensation expenses of US$29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 the second quarter of 2026 were US$15.1 million, compared to US$15.0 million in the first quarter of 2026 and US$16.4 million in the same period of 2025. General and administrative expenses remained stable sequentially. The year-over-year decrease was mainly due to a decrease of US$1.8 million in professional service fees, a decrease of US$0.9 million in share-based compensation expenses, and a decrease of US$0.6 million in staff costs, partially offset by an increase of US$2.6 million in credit loss expense. General and administrative expenses in the second quarter of 2026 also included share-based compensation expenses of US$3.8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property, equipment and software in the second quarter of 2026 was US$9.2 million, compared to nil in the first quarter of 2026 and nil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from operations</w:t>
      </w:r>
      <w:r>
        <w:rPr>
          <w:rFonts w:ascii="Times New Roman;Times;Serif" w:hAnsi="Times New Roman;Times;Serif"/>
          <w:b w:val="false"/>
          <w:i w:val="false"/>
          <w:caps w:val="false"/>
          <w:smallCaps w:val="false"/>
          <w:sz w:val="20"/>
        </w:rPr>
        <w:t xml:space="preserve"> in the second quarter of 2026 was US$69.5 million, compared to US$54.3 million in the first quarter of 2026 and US$27.1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in fair value of cryptocurrency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Change in fair value of financial derivatives </w:t>
      </w:r>
      <w:r>
        <w:rPr>
          <w:rFonts w:ascii="Times New Roman;Times;Serif" w:hAnsi="Times New Roman;Times;Serif"/>
          <w:b w:val="false"/>
          <w:i w:val="false"/>
          <w:caps w:val="false"/>
          <w:smallCaps w:val="false"/>
          <w:sz w:val="20"/>
        </w:rPr>
        <w:t>in the second quarter of 2026 were a loss of US$9.3 million and a loss of US$8.9 million, respectively, compared to a loss of US$24.9 million and a loss of US$16.0 million in the first quarter of 2026, and a gain of US$10.6 million and a gain of US$23.4 million in the second quarter of 2025, respectively. The losses were mainly due to the decreased bitcoin price on June 30, 2026, compared to the bitcoin price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exchange gains (losses), net</w:t>
      </w:r>
      <w:r>
        <w:rPr>
          <w:rFonts w:ascii="Times New Roman;Times;Serif" w:hAnsi="Times New Roman;Times;Serif"/>
          <w:b w:val="false"/>
          <w:i w:val="false"/>
          <w:caps w:val="false"/>
          <w:smallCaps w:val="false"/>
          <w:sz w:val="20"/>
        </w:rPr>
        <w:t xml:space="preserve"> in the second quarter of 2026 were a loss of US$3.0 million, compared to a loss of US$4.0 million in the first quarter of 2026 and a gain of US$0.3 million in the same period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before income tax expense</w:t>
      </w:r>
      <w:r>
        <w:rPr>
          <w:rFonts w:ascii="Times New Roman;Times;Serif" w:hAnsi="Times New Roman;Times;Serif"/>
          <w:b w:val="false"/>
          <w:i w:val="false"/>
          <w:caps w:val="false"/>
          <w:smallCaps w:val="false"/>
          <w:sz w:val="20"/>
        </w:rPr>
        <w:t> in the second quarter of 2026 was US$92.2 million, compared to US$88.8 million in the first quarter of 2026 and US$10.3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Equity in gains (losses) of equity investees </w:t>
      </w:r>
      <w:r>
        <w:rPr>
          <w:rFonts w:ascii="Times New Roman;Times;Serif" w:hAnsi="Times New Roman;Times;Serif"/>
          <w:b w:val="false"/>
          <w:i w:val="false"/>
          <w:caps w:val="false"/>
          <w:smallCaps w:val="false"/>
          <w:sz w:val="20"/>
        </w:rPr>
        <w:t>in the second quarter of 2026 was a loss of US$4.1 million, compared to a gain of US$0.2 million in the first quarter of 2026 and nil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in the second quarter of 2026 was US$97.6 million, compared to US$88.7 million in the first quarter of 2026 and US$11.1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adjusted EBITDA</w:t>
      </w:r>
      <w:r>
        <w:rPr>
          <w:rFonts w:ascii="Times New Roman;Times;Serif" w:hAnsi="Times New Roman;Times;Serif"/>
          <w:b w:val="false"/>
          <w:i w:val="false"/>
          <w:caps w:val="false"/>
          <w:smallCaps w:val="false"/>
          <w:sz w:val="20"/>
        </w:rPr>
        <w:t xml:space="preserve"> in the second quarter of 2026 was a loss of US$74.9 million, as compared to a loss of US$76.3 million in the first quarter of 2026 and a gain of US$25.3 million in the same period of 2025. For further information, please refer to "Use of Non-GAAP Financial Measures" in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currency translation adjustment, net of nil tax</w:t>
      </w:r>
      <w:r>
        <w:rPr>
          <w:rFonts w:ascii="Times New Roman;Times;Serif" w:hAnsi="Times New Roman;Times;Serif"/>
          <w:b w:val="false"/>
          <w:i w:val="false"/>
          <w:caps w:val="false"/>
          <w:smallCaps w:val="false"/>
          <w:sz w:val="20"/>
        </w:rPr>
        <w:t>, in the second quarter of 2026 was a gain of US$3.8 million, compared to a gain of US$5.2 million in the first quarter of 2026 and a gain of US$1.4 million in the same period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loss per American depositary share (“ADS”)</w:t>
      </w:r>
      <w:r>
        <w:rPr>
          <w:rFonts w:ascii="Times New Roman;Times;Serif" w:hAnsi="Times New Roman;Times;Serif"/>
          <w:b w:val="false"/>
          <w:i w:val="false"/>
          <w:caps w:val="false"/>
          <w:smallCaps w:val="false"/>
          <w:sz w:val="20"/>
        </w:rPr>
        <w:t xml:space="preserve"> in the second quarter of 2026 was US$0.13. In comparison, basic and diluted net loss per ADS in the first quarter of 2026 was US$0.13, while basic and diluted net loss per ADS in the same period of 2025 were US$0.03. Each ADS represents 15 of the Company's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held </w:t>
      </w:r>
      <w:r>
        <w:rPr>
          <w:rFonts w:ascii="Times New Roman;Times;Serif" w:hAnsi="Times New Roman;Times;Serif"/>
          <w:b/>
          <w:i w:val="false"/>
          <w:caps w:val="false"/>
          <w:smallCaps w:val="false"/>
          <w:sz w:val="20"/>
        </w:rPr>
        <w:t>Cryptocurrency assets</w:t>
      </w:r>
      <w:r>
        <w:rPr>
          <w:rFonts w:ascii="Times New Roman;Times;Serif" w:hAnsi="Times New Roman;Times;Serif"/>
          <w:b w:val="false"/>
          <w:i w:val="false"/>
          <w:caps w:val="false"/>
          <w:smallCaps w:val="false"/>
          <w:sz w:val="20"/>
        </w:rPr>
        <w:t xml:space="preserve"> with a fair value of US$47.0 million and </w:t>
      </w:r>
      <w:r>
        <w:rPr>
          <w:rFonts w:ascii="Times New Roman;Times;Serif" w:hAnsi="Times New Roman;Times;Serif"/>
          <w:b/>
          <w:i w:val="false"/>
          <w:caps w:val="false"/>
          <w:smallCaps w:val="false"/>
          <w:sz w:val="20"/>
        </w:rPr>
        <w:t>Cryptocurrency receivable</w:t>
      </w:r>
      <w:r>
        <w:rPr>
          <w:rFonts w:ascii="Times New Roman;Times;Serif" w:hAnsi="Times New Roman;Times;Serif"/>
          <w:b w:val="false"/>
          <w:i w:val="false"/>
          <w:caps w:val="false"/>
          <w:smallCaps w:val="false"/>
          <w:sz w:val="20"/>
        </w:rPr>
        <w:t> with an aggregate fair value of US$70.9 million, respectively. Cryptocurrency assets primarily consist of 698.5 bitcoins owned by the Company. Cryptocurrency receivable consists of 1,117.0 bitcoins pledged for secured term loans and 100.0 bitcoins transferred to a fixed-term product. The classification of cryptocurrency receivable as current assets is consistent with the corresponding secured term loans. As of June 30, 2026, the Company held a total of 1,915.5 bitcoins.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of US$66.0 million, compared to US$80.8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 net</w:t>
      </w:r>
      <w:r>
        <w:rPr>
          <w:rFonts w:ascii="Times New Roman;Times;Serif" w:hAnsi="Times New Roman;Times;Serif"/>
          <w:b w:val="false"/>
          <w:i w:val="false"/>
          <w:caps w:val="false"/>
          <w:smallCaps w:val="false"/>
          <w:sz w:val="20"/>
        </w:rPr>
        <w:t xml:space="preserve"> as of June 30, 2026, were US$1.7 million, compared to US$19.3 million as of December 31, 2025. Accounts receivable were mainly due to an installment policy implemented for some major customers who meet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Investment in equity investees</w:t>
      </w:r>
      <w:r>
        <w:rPr>
          <w:rFonts w:ascii="Times New Roman;Times;Serif" w:hAnsi="Times New Roman;Times;Serif"/>
          <w:b w:val="false"/>
          <w:i w:val="false"/>
          <w:caps w:val="false"/>
          <w:smallCaps w:val="false"/>
          <w:sz w:val="20"/>
        </w:rPr>
        <w:t xml:space="preserve"> as of June 30, 2026, was US$11.8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of 690,594,191 ADSs outstanding, each representing 15 of the Company’s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Program Using Portion of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announced that its board of directors had renewed a share repurchase program authorizing the repurchase of up to US$30 million of its outstanding ADSs or Class A ordinary shares over a 12-month period beginning December 12, 2025 (the “Share Repurchase Program”). Repurchases may be made through open-market transactions, privately negotiated transactions, block trades, or a combination thereof, subject to market conditions and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announced that it had been authorized to monetize a portion of its digital asset treasury to fund repurchases under the Share Repurchase Program, reflecting a disciplined capital allocation approach that balances active treasury management with the Company’s long-term commitment to maintaining a strategic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August, the Company sold 3,952 ETH and 54 Bitcoins, generating approximately US$13.9 million in cash, a portion of which was used for share repurchases. The Company repurchased approximately 2.8 million ADSs for about US$2.0 million in the first half of 2026 and an additional 13.6 million ADSs for approximately US$5.4 million in late August.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8, 2026, the Company had repurchased approximately 16.4 million ADSs for a total consideration of US$7.4 million under the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portion of the Company’s digital assets does not represent a change in its long-term digital asset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At-the-Market Offering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established a new ATM equity offering program to replace the prior program, which had expired. The renewal was intended to broaden banking relationships and enhance financial flexibility for future growth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made any sales under the ATM Program since the beginning of the second quarter of 2026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total revenues to be in the range of US$11 million to US$15 million, reflecting the near-term market conditions and evolving customer dynamics,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closely monitor the global policy environment and market developments, and may revise or update its outlook as appropriate, based on future clarity and business visibility.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hold a conference call at 8:00 A.M. U.S. Eastern Time on September 8, 2026 (or 8:00 P.M. Singapore Time on the same day) to discuss the financial results. 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535"/>
        <w:gridCol w:w="7160"/>
      </w:tblGrid>
      <w:tr>
        <w:trPr/>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 Title:</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Canaan Inc. Second Quarter 2026 Earnings Conference Call</w:t>
            </w:r>
          </w:p>
        </w:tc>
      </w:tr>
      <w:tr>
        <w:trPr/>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Link:</w:t>
            </w:r>
          </w:p>
        </w:tc>
        <w:tc>
          <w:tcPr>
            <w:tcW w:w="716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https://register-conf.media-server.com/register/BI95b35b81eafb40488eff6d3e49635cc0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at the Company’s investor relations website at </w:t>
      </w:r>
      <w:r>
        <w:rPr>
          <w:rFonts w:ascii="Times New Roman;Times;Serif" w:hAnsi="Times New Roman;Times;Serif"/>
          <w:b w:val="false"/>
          <w:i w:val="false"/>
          <w:caps w:val="false"/>
          <w:smallCaps w:val="false"/>
          <w:sz w:val="20"/>
          <w:u w:val="single"/>
        </w:rPr>
        <w:t>investor.canaan-creative.com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Canaan's business, the Company uses non-GAAP measures, such as adjusted EBITDA, as supplemental measures to review and assess its operating performance. The Company defines adjusted EBITDA as net loss excluding income tax (benefit) expenses, interest income, interest expense, depreciation and amortization expenses, share-based compensation expenses, impairment on property, equipment and software, change in fair value of financial instruments other than derivatives and excess of fair value of convertible preferred shares. The Company believes that the non-GAAP financial measures provide useful information about the Company's results of operations, enhance the overall understanding of the Company's past performance and future prospects and allow for greater visibility with respect to key metrics used by the Company's management in its financial and operational decision-making.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non-GAAP financial measures have limitations as analytical tools and investors should not consider them in isolation, or as a substitute for net loss, cash flows provided by operating activities or other consolidated statements of operations and cash flows data prepared in accordance with U.S. GAAP. One of the key limitations of using adjusted EBITDA is that it does not reflect all of the items of income and expense that affect the Company's operations. Further, the non-GAAP financial measures may differ from the non-GAAP information used by other companies, including peer companies, and therefore their comparability may be limited. The Company mitigates these limitations by reconciling the non-GAAP financial measures to the most comparable U.S. GAAP performance measures, all of which should be considered when evaluating the Company's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8"/>
        <w:gridCol w:w="60"/>
        <w:gridCol w:w="84"/>
        <w:gridCol w:w="1210"/>
        <w:gridCol w:w="80"/>
        <w:gridCol w:w="60"/>
        <w:gridCol w:w="65"/>
        <w:gridCol w:w="931"/>
        <w:gridCol w:w="97"/>
      </w:tblGrid>
      <w:tr>
        <w:trPr/>
        <w:tc>
          <w:tcPr>
            <w:tcW w:w="76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128,835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Held-for-sale assets,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433,290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310,552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receivable,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108,496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(US$0.00000005 par value; 999,643,050,556 authorized, 10,431,482,973 and 11,237,922,873 shares issued, 9,703,445,043 and 10,557,490,218 shares outstanding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(US$0.00000005 par value; 356,624,444 shares authorized, 311,624,444 shares issued and outstanding as of December 31, 2025 and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stocks (US$0.00000005 par value; 366,981,615 and 342,319,770 shares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1,192,812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(47,632</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(847,112</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18"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18"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446,240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of USD,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0040" w:type="dxa"/>
        <w:jc w:val="left"/>
        <w:tblInd w:w="0" w:type="dxa"/>
        <w:tblLayout w:type="fixed"/>
        <w:tblCellMar>
          <w:top w:w="0" w:type="dxa"/>
          <w:left w:w="0" w:type="dxa"/>
          <w:bottom w:w="0" w:type="dxa"/>
          <w:right w:w="0" w:type="dxa"/>
        </w:tblCellMar>
      </w:tblPr>
      <w:tblGrid>
        <w:gridCol w:w="5600"/>
        <w:gridCol w:w="60"/>
        <w:gridCol w:w="60"/>
        <w:gridCol w:w="1205"/>
        <w:gridCol w:w="80"/>
        <w:gridCol w:w="60"/>
        <w:gridCol w:w="60"/>
        <w:gridCol w:w="1310"/>
        <w:gridCol w:w="80"/>
        <w:gridCol w:w="60"/>
        <w:gridCol w:w="60"/>
        <w:gridCol w:w="1310"/>
        <w:gridCol w:w="95"/>
      </w:tblGrid>
      <w:tr>
        <w:trPr/>
        <w:tc>
          <w:tcPr>
            <w:tcW w:w="5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0"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(90,903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(61,195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(22,906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(29,333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(40,124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(27,070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(54,314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(69,457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cryptocurrency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instruments other than derivatives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(losses),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(10,285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(88,779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(92,197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gains (losses) of equity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(97,607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(83,566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(93,768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5,994,860,758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10,371,318,890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10,847,269,108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5,994,860,758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10,371,318,890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10,847,269,108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(cent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CCEEFF" w:val="clear"/>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00" w:type="dxa"/>
            <w:tcBorders/>
            <w:shd w:fill="FFFF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expenses were included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reconciliation of net loss to non-GAAP adjusted EBITDA for the period indicated:</w:t>
      </w:r>
    </w:p>
    <w:p>
      <w:pPr>
        <w:pStyle w:val="TextBody"/>
        <w:bidi w:val="0"/>
        <w:spacing w:before="0" w:after="0"/>
        <w:ind w:left="0" w:right="0" w:hanging="0"/>
        <w:jc w:val="left"/>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5465"/>
        <w:gridCol w:w="60"/>
        <w:gridCol w:w="64"/>
        <w:gridCol w:w="705"/>
        <w:gridCol w:w="81"/>
        <w:gridCol w:w="60"/>
        <w:gridCol w:w="78"/>
        <w:gridCol w:w="856"/>
        <w:gridCol w:w="81"/>
        <w:gridCol w:w="60"/>
        <w:gridCol w:w="64"/>
        <w:gridCol w:w="705"/>
        <w:gridCol w:w="95"/>
      </w:tblGrid>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(11,058</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(88,748</w:t>
            </w:r>
          </w:p>
        </w:tc>
        <w:tc>
          <w:tcPr>
            <w:tcW w:w="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(97,607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(9,976</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(87,779</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(95,852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(80,963</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(88,659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instruments other than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25,338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(76,348</w:t>
            </w:r>
          </w:p>
        </w:tc>
        <w:tc>
          <w:tcPr>
            <w:tcW w:w="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(74,896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4411</Words>
  <Characters>24851</Characters>
  <CharactersWithSpaces>29638</CharactersWithSpaces>
  <Paragraphs>1443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