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60" w:type="dxa"/>
            <w:vAlign w:val="bottom"/>
            <w:gridSpan w:val="2"/>
          </w:tcPr>
          <w:p>
            <w:pPr>
              <w:jc w:val="center"/>
              <w:ind w:right="4250"/>
              <w:spacing w:after="0"/>
              <w:rPr>
                <w:sz w:val="20"/>
                <w:szCs w:val="20"/>
                <w:color w:val="auto"/>
              </w:rPr>
            </w:pPr>
            <w:r>
              <w:rPr>
                <w:rFonts w:ascii="Arial" w:cs="Arial" w:eastAsia="Arial" w:hAnsi="Arial"/>
                <w:sz w:val="18"/>
                <w:szCs w:val="18"/>
                <w:color w:val="auto"/>
                <w:w w:val="92"/>
              </w:rPr>
              <w:t>Simpson Thacher &amp; Bartlett</w:t>
            </w:r>
          </w:p>
        </w:tc>
      </w:tr>
      <w:tr>
        <w:trPr>
          <w:trHeight w:val="864"/>
        </w:trPr>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gridSpan w:val="2"/>
          </w:tcPr>
          <w:p>
            <w:pPr>
              <w:jc w:val="center"/>
              <w:ind w:right="4270"/>
              <w:spacing w:after="0"/>
              <w:rPr>
                <w:sz w:val="20"/>
                <w:szCs w:val="20"/>
                <w:color w:val="auto"/>
              </w:rPr>
            </w:pPr>
            <w:r>
              <w:rPr>
                <w:rFonts w:ascii="Arial" w:cs="Arial" w:eastAsia="Arial" w:hAnsi="Arial"/>
                <w:sz w:val="18"/>
                <w:szCs w:val="18"/>
                <w:color w:val="auto"/>
                <w:w w:val="95"/>
              </w:rPr>
              <w:t>ICBC TOWER, 35</w:t>
            </w:r>
            <w:r>
              <w:rPr>
                <w:rFonts w:ascii="Arial" w:cs="Arial" w:eastAsia="Arial" w:hAnsi="Arial"/>
                <w:sz w:val="15"/>
                <w:szCs w:val="15"/>
                <w:color w:val="auto"/>
                <w:w w:val="95"/>
              </w:rPr>
              <w:t>TH</w:t>
            </w:r>
            <w:r>
              <w:rPr>
                <w:rFonts w:ascii="Arial" w:cs="Arial" w:eastAsia="Arial" w:hAnsi="Arial"/>
                <w:sz w:val="18"/>
                <w:szCs w:val="18"/>
                <w:color w:val="auto"/>
                <w:w w:val="95"/>
              </w:rPr>
              <w:t xml:space="preserve"> FLOOR</w:t>
            </w:r>
          </w:p>
        </w:tc>
      </w:tr>
      <w:tr>
        <w:trPr>
          <w:trHeight w:val="216"/>
        </w:trPr>
        <w:tc>
          <w:tcPr>
            <w:tcW w:w="1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60" w:type="dxa"/>
            <w:vAlign w:val="bottom"/>
            <w:gridSpan w:val="2"/>
          </w:tcPr>
          <w:p>
            <w:pPr>
              <w:jc w:val="center"/>
              <w:ind w:right="4250"/>
              <w:spacing w:after="0"/>
              <w:rPr>
                <w:sz w:val="20"/>
                <w:szCs w:val="20"/>
                <w:color w:val="auto"/>
              </w:rPr>
            </w:pPr>
            <w:r>
              <w:rPr>
                <w:rFonts w:ascii="Arial" w:cs="Arial" w:eastAsia="Arial" w:hAnsi="Arial"/>
                <w:sz w:val="18"/>
                <w:szCs w:val="18"/>
                <w:color w:val="auto"/>
                <w:w w:val="96"/>
              </w:rPr>
              <w:t>3 GARDEN ROAD</w:t>
            </w:r>
          </w:p>
        </w:tc>
      </w:tr>
      <w:tr>
        <w:trPr>
          <w:trHeight w:val="230"/>
        </w:trPr>
        <w:tc>
          <w:tcPr>
            <w:tcW w:w="1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60" w:type="dxa"/>
            <w:vAlign w:val="bottom"/>
            <w:gridSpan w:val="2"/>
          </w:tcPr>
          <w:p>
            <w:pPr>
              <w:jc w:val="center"/>
              <w:ind w:right="4250"/>
              <w:spacing w:after="0"/>
              <w:rPr>
                <w:sz w:val="20"/>
                <w:szCs w:val="20"/>
                <w:color w:val="auto"/>
              </w:rPr>
            </w:pPr>
            <w:r>
              <w:rPr>
                <w:rFonts w:ascii="Arial" w:cs="Arial" w:eastAsia="Arial" w:hAnsi="Arial"/>
                <w:sz w:val="18"/>
                <w:szCs w:val="18"/>
                <w:color w:val="auto"/>
                <w:w w:val="96"/>
              </w:rPr>
              <w:t>HONG KONG</w:t>
            </w:r>
          </w:p>
        </w:tc>
      </w:tr>
      <w:tr>
        <w:trPr>
          <w:trHeight w:val="351"/>
        </w:trPr>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11"/>
        </w:trPr>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00" w:type="dxa"/>
            <w:vAlign w:val="bottom"/>
            <w:gridSpan w:val="3"/>
          </w:tcPr>
          <w:p>
            <w:pPr>
              <w:jc w:val="center"/>
              <w:ind w:right="3630"/>
              <w:spacing w:after="0"/>
              <w:rPr>
                <w:sz w:val="20"/>
                <w:szCs w:val="20"/>
                <w:color w:val="auto"/>
              </w:rPr>
            </w:pPr>
            <w:r>
              <w:rPr>
                <w:rFonts w:ascii="Arial" w:cs="Arial" w:eastAsia="Arial" w:hAnsi="Arial"/>
                <w:sz w:val="18"/>
                <w:szCs w:val="18"/>
                <w:color w:val="auto"/>
                <w:w w:val="92"/>
              </w:rPr>
              <w:t>TELEPHONE: +852-2514-7600</w:t>
            </w:r>
          </w:p>
        </w:tc>
      </w:tr>
      <w:tr>
        <w:trPr>
          <w:trHeight w:val="230"/>
        </w:trPr>
        <w:tc>
          <w:tcPr>
            <w:tcW w:w="1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60" w:type="dxa"/>
            <w:vAlign w:val="bottom"/>
            <w:gridSpan w:val="2"/>
          </w:tcPr>
          <w:p>
            <w:pPr>
              <w:jc w:val="center"/>
              <w:ind w:right="4250"/>
              <w:spacing w:after="0"/>
              <w:rPr>
                <w:sz w:val="20"/>
                <w:szCs w:val="20"/>
                <w:color w:val="auto"/>
              </w:rPr>
            </w:pPr>
            <w:r>
              <w:rPr>
                <w:rFonts w:ascii="Arial" w:cs="Arial" w:eastAsia="Arial" w:hAnsi="Arial"/>
                <w:sz w:val="18"/>
                <w:szCs w:val="18"/>
                <w:color w:val="auto"/>
                <w:w w:val="94"/>
              </w:rPr>
              <w:t>FACSIMILE: +852-2869-7694</w:t>
            </w:r>
          </w:p>
        </w:tc>
      </w:tr>
      <w:tr>
        <w:trPr>
          <w:trHeight w:val="445"/>
        </w:trPr>
        <w:tc>
          <w:tcPr>
            <w:tcW w:w="3720" w:type="dxa"/>
            <w:vAlign w:val="bottom"/>
            <w:gridSpan w:val="2"/>
          </w:tcPr>
          <w:p>
            <w:pPr>
              <w:spacing w:after="0"/>
              <w:rPr>
                <w:sz w:val="20"/>
                <w:szCs w:val="20"/>
                <w:color w:val="auto"/>
              </w:rPr>
            </w:pPr>
            <w:r>
              <w:rPr>
                <w:rFonts w:ascii="Arial" w:cs="Arial" w:eastAsia="Arial" w:hAnsi="Arial"/>
                <w:sz w:val="18"/>
                <w:szCs w:val="18"/>
                <w:color w:val="auto"/>
              </w:rPr>
              <w:t>Direct Dial Number</w:t>
            </w: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E-mail Address</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(852) 2514-7650</w:t>
            </w:r>
          </w:p>
        </w:tc>
        <w:tc>
          <w:tcPr>
            <w:tcW w:w="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clin@stblaw.com</w:t>
            </w:r>
          </w:p>
        </w:tc>
      </w:tr>
      <w:tr>
        <w:trPr>
          <w:trHeight w:val="432"/>
        </w:trPr>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ind w:right="130"/>
              <w:spacing w:after="0"/>
              <w:rPr>
                <w:sz w:val="20"/>
                <w:szCs w:val="20"/>
                <w:color w:val="auto"/>
              </w:rPr>
            </w:pPr>
            <w:r>
              <w:rPr>
                <w:rFonts w:ascii="Arial" w:cs="Arial" w:eastAsia="Arial" w:hAnsi="Arial"/>
                <w:sz w:val="18"/>
                <w:szCs w:val="18"/>
                <w:color w:val="auto"/>
              </w:rPr>
              <w:t>November 5, 2019</w:t>
            </w:r>
          </w:p>
        </w:tc>
      </w:tr>
      <w:tr>
        <w:trPr>
          <w:trHeight w:val="50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VIA EDGAR</w:t>
            </w: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30"/>
        </w:trPr>
        <w:tc>
          <w:tcPr>
            <w:tcW w:w="372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U.S. Securities and Exchange Commission</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Mail Stop 4561</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-3121025</wp:posOffset>
            </wp:positionV>
            <wp:extent cx="102044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9"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tab/>
        <w:t>Ms. Kristin Lochhead, Accounting Branch Chief</w:t>
      </w:r>
    </w:p>
    <w:p>
      <w:pPr>
        <w:spacing w:after="0" w:line="2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Mr. Brian Cascio, Accounting Branch Chief</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Mr. Thomas Jones, Special Counsel</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Mr. Geoffrey Kruczek, Special Counsel</w:t>
      </w:r>
    </w:p>
    <w:p>
      <w:pPr>
        <w:spacing w:after="0" w:line="23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Canaan Inc.</w:t>
      </w:r>
    </w:p>
    <w:p>
      <w:pPr>
        <w:spacing w:after="0" w:line="27"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Filed October 28, 2019</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 No. 333-234356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41"/>
        <w:spacing w:after="0" w:line="259" w:lineRule="auto"/>
        <w:rPr>
          <w:sz w:val="20"/>
          <w:szCs w:val="20"/>
          <w:color w:val="auto"/>
        </w:rPr>
      </w:pPr>
      <w:r>
        <w:rPr>
          <w:rFonts w:ascii="Arial" w:cs="Arial" w:eastAsia="Arial" w:hAnsi="Arial"/>
          <w:sz w:val="18"/>
          <w:szCs w:val="18"/>
          <w:color w:val="auto"/>
        </w:rPr>
        <w:t>On behalf of our client, Canaan Inc., an exempted company incorporated under the laws of the Cayman Islands with limited liability (the “Company”), we are filing herewith Amendment No. 1 (“Amendment No. 1”) to the Company’s above-referenced Registration Statement on Form F-1 (the “Registration Statement”) via EDGAR with the Securities and Exchange Commission (the “Commission”) under the Securities Act of 1933, as amended (the “Securities Act”).</w:t>
      </w:r>
    </w:p>
    <w:p>
      <w:pPr>
        <w:spacing w:after="0" w:line="187" w:lineRule="exact"/>
        <w:rPr>
          <w:sz w:val="24"/>
          <w:szCs w:val="24"/>
          <w:color w:val="auto"/>
        </w:rPr>
      </w:pPr>
    </w:p>
    <w:p>
      <w:pPr>
        <w:ind w:right="500" w:firstLine="441"/>
        <w:spacing w:after="0" w:line="277" w:lineRule="auto"/>
        <w:rPr>
          <w:sz w:val="20"/>
          <w:szCs w:val="20"/>
          <w:color w:val="auto"/>
        </w:rPr>
      </w:pPr>
      <w:r>
        <w:rPr>
          <w:rFonts w:ascii="Arial" w:cs="Arial" w:eastAsia="Arial" w:hAnsi="Arial"/>
          <w:sz w:val="18"/>
          <w:szCs w:val="18"/>
          <w:color w:val="auto"/>
        </w:rPr>
        <w:t>We enclose herewith five (5) courtesy copies of Amendment No. 1, which has been marked to show changes to the Company’s Registration Statement filed with the Commission on October 28, 2019 (the “October 28 Filing”).</w:t>
      </w:r>
    </w:p>
    <w:p>
      <w:pPr>
        <w:sectPr>
          <w:pgSz w:w="11900" w:h="16838" w:orient="portrait"/>
          <w:cols w:equalWidth="0" w:num="1">
            <w:col w:w="11020"/>
          </w:cols>
          <w:pgMar w:left="440" w:top="233"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Simpson Thacher &amp; Bartlett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5992495</wp:posOffset>
            </wp:positionH>
            <wp:positionV relativeFrom="paragraph">
              <wp:posOffset>40640</wp:posOffset>
            </wp:positionV>
            <wp:extent cx="634365" cy="94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 cy="946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November 5, 2019</w:t>
      </w:r>
    </w:p>
    <w:p>
      <w:pPr>
        <w:spacing w:after="0" w:line="158" w:lineRule="exact"/>
        <w:rPr>
          <w:sz w:val="20"/>
          <w:szCs w:val="20"/>
          <w:color w:val="auto"/>
        </w:rPr>
      </w:pPr>
    </w:p>
    <w:p>
      <w:pPr>
        <w:ind w:right="800" w:firstLine="441"/>
        <w:spacing w:after="0" w:line="342" w:lineRule="auto"/>
        <w:rPr>
          <w:sz w:val="20"/>
          <w:szCs w:val="20"/>
          <w:color w:val="auto"/>
        </w:rPr>
      </w:pPr>
      <w:r>
        <w:rPr>
          <w:rFonts w:ascii="Arial" w:cs="Arial" w:eastAsia="Arial" w:hAnsi="Arial"/>
          <w:sz w:val="16"/>
          <w:szCs w:val="16"/>
          <w:color w:val="auto"/>
        </w:rPr>
        <w:t>The Company will commence its road show activities on November 13, 2019 and expects to price the initial public offering on or about November 19, 2019. We would greatly appreciate the Staff’s willingness to work with the Company to achieve this offering timetable.</w:t>
      </w:r>
    </w:p>
    <w:p>
      <w:pPr>
        <w:spacing w:after="0" w:line="124"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On behalf of the Company, we wish to thank you and the other members of the Staff of the Commission for your prompt review of the October 28 Filing.</w:t>
      </w:r>
    </w:p>
    <w:p>
      <w:pPr>
        <w:sectPr>
          <w:pgSz w:w="11900" w:h="16838" w:orient="portrait"/>
          <w:cols w:equalWidth="0" w:num="1">
            <w:col w:w="11020"/>
          </w:cols>
          <w:pgMar w:left="440" w:top="274"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Simpson Thacher &amp; Bartlett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5992495</wp:posOffset>
            </wp:positionH>
            <wp:positionV relativeFrom="paragraph">
              <wp:posOffset>40640</wp:posOffset>
            </wp:positionV>
            <wp:extent cx="634365" cy="9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 cy="946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November 5, 2019</w:t>
      </w:r>
    </w:p>
    <w:p>
      <w:pPr>
        <w:spacing w:after="0" w:line="158"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If you have any question regarding the Registration Statement, please do not hesitate to contact me at +852-2514-7650 (work), +852-9198-4235 (mobile) or clin@stblaw.com (email) or Howie Farn at +852-2514-7668 (work), +852-6710-2672 (mobile) or hfarn@stblaw.com (email).</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 K.H. Lin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Chris K.H. Lin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Nangeng Zhang, Chairman and Chief Executive Officer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Jianping Kong, Director and co-chairman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Quanfu Hong, Vice President of Finance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Canaan Inc.</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Howie Farn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Yi-Ping Chang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Simpson Thacher &amp; Bartlett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Calvin C. Lai</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Valerie Ford Jacob</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Freshfields Bruckhaus Deringer</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Steven Zhao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PricewaterhouseCoopers Zhong Tian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2019-12-19T23:02:44Z</dcterms:created>
  <dcterms:modified xsi:type="dcterms:W3CDTF">2019-12-19T23:02:44Z</dcterms:modified>
</cp:coreProperties>
</file>