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6-K</w:t>
      </w:r>
    </w:p>
    <w:p>
      <w:pPr>
        <w:spacing w:after="0" w:line="18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REPORT OF FOREIGN PRIVATE ISSUER PURSUANT TO RULE 13a-16 OR 15d-16 UNDER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 the month of May 2020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001-39127</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Canaan Inc.</w:t>
      </w:r>
    </w:p>
    <w:p>
      <w:pPr>
        <w:spacing w:after="0" w:line="50"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(Registrant’s name)</w:t>
      </w:r>
    </w:p>
    <w:p>
      <w:pPr>
        <w:spacing w:after="0" w:line="138"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30/F, Dicara Silver Tower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29 Jiefang East Road</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Jianggan District, Hangzhou, 310016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w:t>
      </w: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5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8"/>
        </w:trPr>
        <w:tc>
          <w:tcPr>
            <w:tcW w:w="9580" w:type="dxa"/>
            <w:vAlign w:val="bottom"/>
          </w:tcPr>
          <w:p>
            <w:pPr>
              <w:ind w:left="46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9580" w:type="dxa"/>
            <w:vAlign w:val="bottom"/>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submitting the Form 6-K in paper as permitted by Regulation S-T Rule 101(b)(1):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166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20" w:type="dxa"/>
            <w:vAlign w:val="bottom"/>
          </w:tcPr>
          <w:p>
            <w:pPr>
              <w:spacing w:after="0"/>
              <w:rPr>
                <w:sz w:val="24"/>
                <w:szCs w:val="24"/>
                <w:color w:val="auto"/>
              </w:rPr>
            </w:pPr>
          </w:p>
        </w:tc>
      </w:tr>
      <w:tr>
        <w:trPr>
          <w:trHeight w:val="324"/>
        </w:trPr>
        <w:tc>
          <w:tcPr>
            <w:tcW w:w="9580" w:type="dxa"/>
            <w:vAlign w:val="bottom"/>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submitting the Form 6-K in paper as permitted by Regulation S-T Rule 101(b)(7):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166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20" w:type="dxa"/>
            <w:vAlign w:val="bottom"/>
          </w:tcPr>
          <w:p>
            <w:pPr>
              <w:spacing w:after="0"/>
              <w:rPr>
                <w:sz w:val="24"/>
                <w:szCs w:val="24"/>
                <w:color w:val="auto"/>
              </w:rPr>
            </w:pPr>
          </w:p>
        </w:tc>
      </w:tr>
      <w:tr>
        <w:trPr>
          <w:trHeight w:val="142"/>
        </w:trPr>
        <w:tc>
          <w:tcPr>
            <w:tcW w:w="95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2"/>
        </w:trPr>
        <w:tc>
          <w:tcPr>
            <w:tcW w:w="95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Unaudited Fourth Quarter and Full Year 2019 Financial Results</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May 22, 2020, Canaan Inc. (the “Company’) announced its unaudited first quarter 2020 financial results.</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Exhibits</w:t>
      </w:r>
    </w:p>
    <w:p>
      <w:pPr>
        <w:spacing w:after="0" w:line="17" w:lineRule="exact"/>
        <w:rPr>
          <w:sz w:val="20"/>
          <w:szCs w:val="20"/>
          <w:color w:val="auto"/>
        </w:rPr>
      </w:pPr>
    </w:p>
    <w:p>
      <w:pPr>
        <w:ind w:left="180"/>
        <w:spacing w:after="0"/>
        <w:tabs>
          <w:tab w:leader="none" w:pos="9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Canaan Inc. Reports Unaudited First Quarter 2020 Financial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94"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2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Canaan Inc.</w:t>
      </w:r>
    </w:p>
    <w:p>
      <w:pPr>
        <w:spacing w:after="0" w:line="225" w:lineRule="exact"/>
        <w:rPr>
          <w:sz w:val="20"/>
          <w:szCs w:val="20"/>
          <w:color w:val="auto"/>
        </w:rPr>
      </w:pPr>
    </w:p>
    <w:p>
      <w:pPr>
        <w:spacing w:after="0"/>
        <w:tabs>
          <w:tab w:leader="none" w:pos="5800" w:val="left"/>
          <w:tab w:leader="none" w:pos="6540" w:val="left"/>
        </w:tabs>
        <w:rPr>
          <w:sz w:val="20"/>
          <w:szCs w:val="20"/>
          <w:color w:val="auto"/>
        </w:rPr>
      </w:pPr>
      <w:r>
        <w:rPr>
          <w:rFonts w:ascii="Arial" w:cs="Arial" w:eastAsia="Arial" w:hAnsi="Arial"/>
          <w:sz w:val="18"/>
          <w:szCs w:val="18"/>
          <w:color w:val="auto"/>
        </w:rPr>
        <w:t>Date: May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Quanfu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974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5820"/>
        <w:spacing w:after="0"/>
        <w:tabs>
          <w:tab w:leader="none" w:pos="6540" w:val="left"/>
        </w:tabs>
        <w:rPr>
          <w:sz w:val="20"/>
          <w:szCs w:val="20"/>
          <w:color w:val="auto"/>
        </w:rPr>
      </w:pPr>
      <w:r>
        <w:rPr>
          <w:rFonts w:ascii="Arial" w:cs="Arial" w:eastAsia="Arial" w:hAnsi="Arial"/>
          <w:sz w:val="18"/>
          <w:szCs w:val="18"/>
          <w:color w:val="auto"/>
        </w:rPr>
        <w:t>Name:</w:t>
        <w:tab/>
        <w:t>Quanfu Hong</w:t>
      </w:r>
    </w:p>
    <w:p>
      <w:pPr>
        <w:spacing w:after="0" w:line="23" w:lineRule="exact"/>
        <w:rPr>
          <w:sz w:val="20"/>
          <w:szCs w:val="20"/>
          <w:color w:val="auto"/>
        </w:rPr>
      </w:pPr>
    </w:p>
    <w:p>
      <w:pPr>
        <w:ind w:left="582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ectPr>
          <w:pgSz w:w="11900" w:h="16838" w:orient="portrait"/>
          <w:cols w:equalWidth="0" w:num="1">
            <w:col w:w="10980"/>
          </w:cols>
          <w:pgMar w:left="320" w:top="94"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Canaan Inc. Reports Unaudited First Quarter 2020 Financial Results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Hangzhou, China, May 22, 2020 (GLOBE NEWSWIRE) -- Canaan Inc. (NASDAQ: CAN) ("Canaan" or the "Company"), a leading high-performance computing solutions provider, today announced its unaudited financial results for the three months ended March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Operating and Financial Highlights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computing power sold </w:t>
      </w:r>
      <w:r>
        <w:rPr>
          <w:rFonts w:ascii="Arial" w:cs="Arial" w:eastAsia="Arial" w:hAnsi="Arial"/>
          <w:sz w:val="18"/>
          <w:szCs w:val="18"/>
          <w:color w:val="auto"/>
        </w:rPr>
        <w:t>increased by 18.4% to 0.9 million Thash/s from 0.7 million Thash/s in the same period of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increased by 44.6% to RMB68.3 million (US$9.6 million) from RMB47.2 million in the same period of 2019.</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increased by 417.0% to RMB2.4 million (US$0.3 million) from RMB0.5 million in the same period of 2019, while gross margin expanded to</w:t>
      </w:r>
      <w:r>
        <w:rPr>
          <w:rFonts w:ascii="Arial" w:cs="Arial" w:eastAsia="Arial" w:hAnsi="Arial"/>
          <w:sz w:val="18"/>
          <w:szCs w:val="18"/>
          <w:b w:val="1"/>
          <w:bCs w:val="1"/>
          <w:color w:val="auto"/>
        </w:rPr>
        <w:t xml:space="preserve"> </w:t>
      </w:r>
      <w:r>
        <w:rPr>
          <w:rFonts w:ascii="Arial" w:cs="Arial" w:eastAsia="Arial" w:hAnsi="Arial"/>
          <w:sz w:val="18"/>
          <w:szCs w:val="18"/>
          <w:color w:val="auto"/>
        </w:rPr>
        <w:t>3.5% from 1.0% in the same period of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narrowed to RMB39.9 million (US$5.6 million) from RMB67.9 million in the same period of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Non-GAAP adjusted net loss </w:t>
      </w:r>
      <w:r>
        <w:rPr>
          <w:rFonts w:ascii="Arial" w:cs="Arial" w:eastAsia="Arial" w:hAnsi="Arial"/>
          <w:sz w:val="18"/>
          <w:szCs w:val="18"/>
          <w:color w:val="auto"/>
        </w:rPr>
        <w:t>was RMB38.2 million (US$5.4 million) compared to RMB63.9 million in the same period of 2019.</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behalf of our team at Canaan, I wish to sincerely thank all of the medical staff and community workers who are combating the COVID-19 pandemic on the frontlines to keep our society moving forward,” commented Mr. Nangeng Zhang, Chairman and Chief Executive Officer of Canaan. “As the COVID-19 pandemic swept the globe, we continued to refine our R&amp;D capabilities to develop a strong lineup of next-generation products. In addition, we also lowered the barrier for consumers to enter the Bitcoin mining space through a series of SaaS solutions designed to help our clients reduce the costs of maintaining our mining machines. As such, we further improved the quality of our product offerings and strengthened our value propositions, which allowed us to minimize the impact of the fluctuations in Bitcoin price and related derivatives during the Bitcoin halving. Going forward, we expect that our core commitment to technological innovation, product leadership and strong service value proposition to our clients will fuel our growth in the years to come and help create sustainable value for our shareholders.”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Quanfu Hong, Chief Financial Officer of Canaan, stated, “Despite facing increasing macroeconomic uncertainties, we carried through our growth momentum to deliver better-than-expected financial results for the first quarter of 2020. Our total net revenues in the first quarter grew by 44.6% year over year to RMB68.3 million, driven by increases in total computing power sold and the average selling price per Thash in the period. Looking ahead, we will continue to focus on streamlining our operations, bolstering our cash reserves and prioritizing investments that can fortify our market leadership. We believe that these strategic focuses will enable us to weather the current headwinds and sustain our growth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Financial Results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Total net revenues </w:t>
      </w:r>
      <w:r>
        <w:rPr>
          <w:rFonts w:ascii="Arial" w:cs="Arial" w:eastAsia="Arial" w:hAnsi="Arial"/>
          <w:sz w:val="18"/>
          <w:szCs w:val="18"/>
          <w:color w:val="auto"/>
        </w:rPr>
        <w:t>in the first quarter of 2020 increased by 44.6% to RMB68.3 million (US$9.6 million) from RMB47.2 million in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2019. The growth was mainly driven by increases in total computing power sold and the average selling price (ASP) per Thash.</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in the first quarter of 2020 was RMB65.9 million (US$9.3 million) compared to RMB46.8 million in the same period of 2019,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in line with the increased sales volume of Thash.</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in the first quarter of 2020 increased by 417.0% to RMB2.4 million (US$0.4 million) from RMB0.5 million in the same period of 2019. Gross</w:t>
      </w:r>
      <w:r>
        <w:rPr>
          <w:rFonts w:ascii="Arial" w:cs="Arial" w:eastAsia="Arial" w:hAnsi="Arial"/>
          <w:sz w:val="18"/>
          <w:szCs w:val="18"/>
          <w:b w:val="1"/>
          <w:bCs w:val="1"/>
          <w:color w:val="auto"/>
        </w:rPr>
        <w:t xml:space="preserve"> </w:t>
      </w:r>
      <w:r>
        <w:rPr>
          <w:rFonts w:ascii="Arial" w:cs="Arial" w:eastAsia="Arial" w:hAnsi="Arial"/>
          <w:sz w:val="18"/>
          <w:szCs w:val="18"/>
          <w:color w:val="auto"/>
        </w:rPr>
        <w:t>margin in the first quarter of 2020 expanded to 3.5% from 1.0% in the same period of 2019.</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Total operating expenses </w:t>
      </w:r>
      <w:r>
        <w:rPr>
          <w:rFonts w:ascii="Arial" w:cs="Arial" w:eastAsia="Arial" w:hAnsi="Arial"/>
          <w:sz w:val="16"/>
          <w:szCs w:val="16"/>
          <w:color w:val="auto"/>
        </w:rPr>
        <w:t>in the first quarter of 2020 were RMB73.5 million (US$10.4 million) compared to RMB58.5 million in the same period of 2019.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 the first quarter of 2020 were RMB41.8 million (US$5.9 million) compared to RMB31.3 million in the same period of 2019. The increase was mainly due to higher research and development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color w:val="auto"/>
        </w:rPr>
        <w:t>in the first quarter of 2020. As a percentage of total net revenues, research and development expenses in the first quarter of 2020 was 61.2% compared to 66.3% in the same period of 2019.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in the first quarter of 2020 were RMB4.1 million (US$0.6 million) compared to RMB2.3 million in the same period of 2019, driven by the increased headcount of the Company’s sales and marketing departments. As a percentage of total net revenues, sales and marketing expenses in the first quarter of 2020 increased to 6.1% from 4.9% in the same period of 2019.</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 the first quarter of 2020 were RMB27.6 million (US$3.9 million) compared to RMB24.8 million in the same period of 2019. The increase was mainly due to higher insurance fees in the first quarter of 2020. As a percentage of total net revenues, general and administrative expenses in the first quarter of 2020 decreased to 40.4% from 52.6% in the same period of 2019.</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Loss from operations </w:t>
      </w:r>
      <w:r>
        <w:rPr>
          <w:rFonts w:ascii="Arial" w:cs="Arial" w:eastAsia="Arial" w:hAnsi="Arial"/>
          <w:sz w:val="17"/>
          <w:szCs w:val="17"/>
          <w:color w:val="auto"/>
        </w:rPr>
        <w:t>in the first quarter of 2020 was RMB71.1 million (US$10.0 million) compared to RMB58.0 million in the same period of 2019.</w:t>
      </w:r>
    </w:p>
    <w:p>
      <w:pPr>
        <w:spacing w:after="0" w:line="2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Net loss attributable to ordinary shareholders </w:t>
      </w:r>
      <w:r>
        <w:rPr>
          <w:rFonts w:ascii="Arial" w:cs="Arial" w:eastAsia="Arial" w:hAnsi="Arial"/>
          <w:sz w:val="18"/>
          <w:szCs w:val="18"/>
          <w:color w:val="auto"/>
        </w:rPr>
        <w:t>in the first quarter of 2020 was RMB39.9 million (US$5.6 million) compared to RMB67.9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2019.</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Non-GAAP adjusted net loss </w:t>
      </w:r>
      <w:r>
        <w:rPr>
          <w:rFonts w:ascii="Arial" w:cs="Arial" w:eastAsia="Arial" w:hAnsi="Arial"/>
          <w:sz w:val="18"/>
          <w:szCs w:val="18"/>
          <w:color w:val="auto"/>
        </w:rPr>
        <w:t>in the first quarter of 2020 was RMB38.2 million (US$5.4 million) compared to RMB63.9 million in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2019. Non-GAAP adjusted net loss excludes share-based compensation expense. For further information, please refer to "Use of Non-GAAP Financial Measures" in this release.</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Basic and diluted net loss per ADS </w:t>
      </w:r>
      <w:r>
        <w:rPr>
          <w:rFonts w:ascii="Arial" w:cs="Arial" w:eastAsia="Arial" w:hAnsi="Arial"/>
          <w:sz w:val="18"/>
          <w:szCs w:val="18"/>
          <w:color w:val="auto"/>
        </w:rPr>
        <w:t>in the first quarter of 2020 was RMB0.25 (US$0.04) compared to RMB0.50 in the same period of 2019. Each ADS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15 of the Company's Class A ordinary shares.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of March 31, 2020, the Company had </w:t>
      </w:r>
      <w:r>
        <w:rPr>
          <w:rFonts w:ascii="Arial" w:cs="Arial" w:eastAsia="Arial" w:hAnsi="Arial"/>
          <w:sz w:val="18"/>
          <w:szCs w:val="18"/>
          <w:b w:val="1"/>
          <w:bCs w:val="1"/>
          <w:color w:val="auto"/>
        </w:rPr>
        <w:t>cash and cash equivalents</w:t>
      </w:r>
      <w:r>
        <w:rPr>
          <w:rFonts w:ascii="Arial" w:cs="Arial" w:eastAsia="Arial" w:hAnsi="Arial"/>
          <w:sz w:val="18"/>
          <w:szCs w:val="18"/>
          <w:color w:val="auto"/>
        </w:rPr>
        <w:t xml:space="preserve"> of RMB264.4 million (US$37.3 million) compared to RMB516.6 million as of December 31, 2019. The decrease was mainly due to higher short-term investments as the Company invested RMB173.4 million (US$24.5 million) in short-term investments as of March 31, 2020, compared with RMB11.0 million as of December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evolving nature of the COVID-19 pandemic and the uncertainties surrounding the Bitcoin halving event, the Company currently has very limited visibility on the potential impacts to its business and the markets in which it operates. As a result, the Company will not issue a business outlook for the second quarter of 2020 since Canaan believes that it is not appropriate to provide financial forecasts that could be materially different due to the rapidly changing market and operational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team will hold a Direct Event conference call on Friday, May 22, 2020, at 8:00 A.M. Eastern Time (or 8:00 P.M. Beijing Time on the same day) to discuss the financial results. Details for the conference call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Event Title:Canaan Inc. First Quarter 2020 Earnings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Link:https://s1.c-conf.com/diamondpass/10006957-invite.html</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participants must use the link provided above to complete the online registration process in advance of the conference call. Upon registering, each participant will receive a set of participant dial-in numbers, the Direct Event passcode, and a unique access PIN, which can be used to join the conference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conference call will be accessible through June 02, 2020, by dialing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International:+61-7-3107-6325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States:+1-855-883-1031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Hong Kong, China:800-930-639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PIN:10006957#</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 live and archived webcast of the conference call will also be available at the Company’s investor relations website at investor.canaan-creative.com.</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Canaan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Established in 2013, Canaan Inc. provides high-performance computing solutions to efficiently solve complex problems. In 2016, Canaan successfully initiated the production of its first 16nm chip and passed the test to receive China's national high-tech enterprise certification. In 2018, Canaan achieved major technological breakthroughs to launch the K210, the world's first-ever RISC-V-based edge artificial intelligence (AI) chip, which is now widely used for access control in situations such as smart door locks and more. Canaan Inc. is currently focused on the research and development of advanced technology, including such areas as AI chips, AI algorithms, AI architectures, system on a chip (SoC) integration and chip integration. Using the AI chip as its base, Canaan Inc. has established an intellectual value chain. Canaan Inc. also provides a suite of AI service solutions and is able to tailor these solutions to the needs of its partners. For more information, please visit: investor.canaan-creative.com.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contains translations of certain RMB amounts into U.S. dollars ("US$") at specified rates solely for the convenience of the reader. Unless otherwise stated, all translations from RMB to US$ were made at the rate of RMB7.0808 to US$1.00, the noon buying rate in effect on March 31, 2020, in the H.10 statistical release of the Federal Reserve Board. The Company makes no representation that the RMB or US$ amounts referred could be converted into US$ or RMB, as the case may be, at any particular rate or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in China; and relevant government policies and regulations relating to the Company and cryptocurrency. Further information regarding these and other risks is included in the Company’s filings with the SEC, including its registration statement on Form F−1, as amended, and its annual reports on Form 20−F. All information provided in this press release and in the attachments is as of the date of this press release, and Canaan Inc. does not undertake any obligation to update any forward−looking statement, except as required under applicable law.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evaluating Canaan’s business, the Company considers and uses adjusted net income as a supplemental measure to review and assess its operating performance. The presentation of this non-GAAP financial measure is not intended to be considered in isolation or as a substitute for financial information prepared and presented in accordance with U.S. GAAP. The Company defines adjusted net loss as net loss excluding sharebased compensation expense.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Canaan believes that adjusted net income helps to identify underlying trends in the Company’s business that could otherwise be distorted by the effect of the expenses that the Company excludes in adjusted net income. The Company believes that adjusted net income provides useful information about our operating results, enhances the overall understanding of Canaan’s past performance and future prospects and allows for greater visibility with respect to key metrics used by the Company’s management in its financial and operational decision-making.</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non-GAAP financial measure “adjusted net loss” is not defined under U.S. GAAP, is not presented in accordance with U.S. GAAP and has limitations as an analytical tool. One of the key limitations of using adjusted net loss is that it does not reflect all of the items of income and expense that affect the Company’s operations. Share-based compensation has been and may continue to be incurred in Canaan’s business and is not reflected in the presentation of adjusted net loss. Further, the non-GAAP financial measure “adjusted net loss” may differ from the non-GAAP information used by other companies, including peer companies, and therefore their comparability may be limited.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Canaan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Shaoke 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+86-137-5090-0683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IR@canaan-creative.com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(347) 396-3281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canaan.ir@icrinc.com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CANAAN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of RMB, except share and per share data, or as otherwise noted)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As of</w:t>
            </w: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2040" w:type="dxa"/>
            <w:vAlign w:val="bottom"/>
            <w:gridSpan w:val="3"/>
          </w:tcPr>
          <w:p>
            <w:pPr>
              <w:ind w:left="900"/>
              <w:spacing w:after="0"/>
              <w:rPr>
                <w:sz w:val="20"/>
                <w:szCs w:val="20"/>
                <w:color w:val="auto"/>
              </w:rPr>
            </w:pPr>
            <w:r>
              <w:rPr>
                <w:rFonts w:ascii="Arial" w:cs="Arial" w:eastAsia="Arial" w:hAnsi="Arial"/>
                <w:sz w:val="16"/>
                <w:szCs w:val="16"/>
                <w:b w:val="1"/>
                <w:bCs w:val="1"/>
                <w:color w:val="auto"/>
                <w:w w:val="94"/>
              </w:rPr>
              <w:t>As of March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rPr>
              <w:t>RMB</w:t>
            </w:r>
          </w:p>
        </w:tc>
        <w:tc>
          <w:tcPr>
            <w:tcW w:w="140" w:type="dxa"/>
            <w:vAlign w:val="bottom"/>
          </w:tcPr>
          <w:p>
            <w:pPr>
              <w:spacing w:after="0"/>
              <w:rPr>
                <w:sz w:val="18"/>
                <w:szCs w:val="18"/>
                <w:color w:val="auto"/>
              </w:rPr>
            </w:pPr>
          </w:p>
        </w:tc>
        <w:tc>
          <w:tcPr>
            <w:tcW w:w="1440" w:type="dxa"/>
            <w:vAlign w:val="bottom"/>
          </w:tcPr>
          <w:p>
            <w:pPr>
              <w:jc w:val="right"/>
              <w:ind w:right="499"/>
              <w:spacing w:after="0"/>
              <w:rPr>
                <w:sz w:val="20"/>
                <w:szCs w:val="20"/>
                <w:color w:val="auto"/>
              </w:rPr>
            </w:pPr>
            <w:r>
              <w:rPr>
                <w:rFonts w:ascii="Arial" w:cs="Arial" w:eastAsia="Arial" w:hAnsi="Arial"/>
                <w:sz w:val="16"/>
                <w:szCs w:val="16"/>
                <w:b w:val="1"/>
                <w:bCs w:val="1"/>
                <w:color w:val="auto"/>
              </w:rPr>
              <w:t>RMB</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559"/>
              <w:spacing w:after="0"/>
              <w:rPr>
                <w:sz w:val="20"/>
                <w:szCs w:val="20"/>
                <w:color w:val="auto"/>
              </w:rPr>
            </w:pPr>
            <w:r>
              <w:rPr>
                <w:rFonts w:ascii="Arial" w:cs="Arial" w:eastAsia="Arial" w:hAnsi="Arial"/>
                <w:sz w:val="16"/>
                <w:szCs w:val="16"/>
                <w:b w:val="1"/>
                <w:bCs w:val="1"/>
                <w:color w:val="auto"/>
              </w:rPr>
              <w:t>US$</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516,607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264,445</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37,347</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Restricted cash</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8,239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7,125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173,402</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24,489</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Accounts receivable</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2,872</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6,792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Inventories</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196,067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226,622</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32,005</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Prepayments and other current assets</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206,020</w:t>
            </w: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253,365</w:t>
            </w:r>
          </w:p>
        </w:tc>
        <w:tc>
          <w:tcPr>
            <w:tcW w:w="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35,782</w:t>
            </w:r>
          </w:p>
        </w:tc>
        <w:tc>
          <w:tcPr>
            <w:tcW w:w="0" w:type="dxa"/>
            <w:vAlign w:val="bottom"/>
          </w:tcPr>
          <w:p>
            <w:pPr>
              <w:spacing w:after="0"/>
              <w:rPr>
                <w:sz w:val="1"/>
                <w:szCs w:val="1"/>
                <w:color w:val="auto"/>
              </w:rPr>
            </w:pPr>
          </w:p>
        </w:tc>
      </w:tr>
      <w:tr>
        <w:trPr>
          <w:trHeight w:val="212"/>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current assets</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940,810</w:t>
            </w:r>
          </w:p>
        </w:tc>
        <w:tc>
          <w:tcPr>
            <w:tcW w:w="14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931,751</w:t>
            </w: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131,588</w:t>
            </w:r>
          </w:p>
        </w:tc>
        <w:tc>
          <w:tcPr>
            <w:tcW w:w="0" w:type="dxa"/>
            <w:vAlign w:val="bottom"/>
          </w:tcPr>
          <w:p>
            <w:pPr>
              <w:spacing w:after="0"/>
              <w:rPr>
                <w:sz w:val="1"/>
                <w:szCs w:val="1"/>
                <w:color w:val="auto"/>
              </w:rPr>
            </w:pPr>
          </w:p>
        </w:tc>
      </w:tr>
      <w:tr>
        <w:trPr>
          <w:trHeight w:val="207"/>
        </w:trPr>
        <w:tc>
          <w:tcPr>
            <w:tcW w:w="66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Property, equipment and software</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22,602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20,497</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2,895</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Right-of-use assets, net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22,764</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19,684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5,250</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2,230</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50,616</w:t>
            </w: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42,411</w:t>
            </w:r>
          </w:p>
        </w:tc>
        <w:tc>
          <w:tcPr>
            <w:tcW w:w="14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5,990</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991,426</w:t>
            </w: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974,162</w:t>
            </w: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137,578</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Short-term debts</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99,903</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175,747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24,820</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99,050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65,805</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9,293</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Notes payable</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27,462</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13,746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8,288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10,888</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Accrued liabilities and other current liabilities</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40,691</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18,403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Lease liabilities, current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9,838</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7,358</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285,232</w:t>
            </w: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291,947</w:t>
            </w:r>
          </w:p>
        </w:tc>
        <w:tc>
          <w:tcPr>
            <w:tcW w:w="14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41,231</w:t>
            </w:r>
          </w:p>
        </w:tc>
        <w:tc>
          <w:tcPr>
            <w:tcW w:w="0" w:type="dxa"/>
            <w:vAlign w:val="bottom"/>
          </w:tcPr>
          <w:p>
            <w:pPr>
              <w:spacing w:after="0"/>
              <w:rPr>
                <w:sz w:val="1"/>
                <w:szCs w:val="1"/>
                <w:color w:val="auto"/>
              </w:rPr>
            </w:pPr>
          </w:p>
        </w:tc>
      </w:tr>
      <w:tr>
        <w:trPr>
          <w:trHeight w:val="212"/>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Non-current liabilities:</w:t>
            </w:r>
          </w:p>
        </w:tc>
        <w:tc>
          <w:tcPr>
            <w:tcW w:w="14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Lease liabilities, non-current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13,399</w:t>
            </w: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10,758</w:t>
            </w:r>
          </w:p>
        </w:tc>
        <w:tc>
          <w:tcPr>
            <w:tcW w:w="14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21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10,394</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1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13,399</w:t>
            </w: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21,152</w:t>
            </w:r>
          </w:p>
        </w:tc>
        <w:tc>
          <w:tcPr>
            <w:tcW w:w="14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298,631</w:t>
            </w: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313,099</w:t>
            </w: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44,218</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b w:val="1"/>
                <w:bCs w:val="1"/>
                <w:color w:val="auto"/>
              </w:rPr>
              <w:t>Shareholders’ equity:</w:t>
            </w: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Ordinary shares (US$0.00000005 par value; 1,000,000,000,000 shares</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authorized, 2,372,222,222 shares issued, 2,350,123,270 shares</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outstanding as of December 31, 2019 and March 31, 2020, respectively)</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Subscriptions receivable from shareholders</w:t>
            </w: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Treasury stocks (US$0.00000005 par value; 22,098,952 shares as of</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December 31, 2019 and March 31, 2020, respectively)</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40" w:type="dxa"/>
            <w:vAlign w:val="bottom"/>
            <w:gridSpan w:val="3"/>
            <w:shd w:val="clear" w:color="auto" w:fill="CFF0FC"/>
          </w:tcPr>
          <w:p>
            <w:pPr>
              <w:jc w:val="right"/>
              <w:ind w:right="7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1,631,609</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1,633,340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230,672</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Statutory reserves</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97,307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97,307</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13,742</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420" w:type="dxa"/>
            <w:vAlign w:val="bottom"/>
          </w:tcPr>
          <w:p>
            <w:pPr>
              <w:jc w:val="right"/>
              <w:spacing w:after="0"/>
              <w:rPr>
                <w:sz w:val="20"/>
                <w:szCs w:val="20"/>
                <w:color w:val="auto"/>
              </w:rPr>
            </w:pPr>
            <w:r>
              <w:rPr>
                <w:rFonts w:ascii="Arial" w:cs="Arial" w:eastAsia="Arial" w:hAnsi="Arial"/>
                <w:sz w:val="16"/>
                <w:szCs w:val="16"/>
                <w:color w:val="auto"/>
              </w:rPr>
              <w:t>(55,542)</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(49,059)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(6,928)</w:t>
            </w:r>
          </w:p>
        </w:tc>
        <w:tc>
          <w:tcPr>
            <w:tcW w:w="0" w:type="dxa"/>
            <w:vAlign w:val="bottom"/>
          </w:tcPr>
          <w:p>
            <w:pPr>
              <w:spacing w:after="0"/>
              <w:rPr>
                <w:sz w:val="1"/>
                <w:szCs w:val="1"/>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(980,579)</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(1,020,525)</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(144,126)</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shareholders’ equity</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692,795</w:t>
            </w: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661,063</w:t>
            </w:r>
          </w:p>
        </w:tc>
        <w:tc>
          <w:tcPr>
            <w:tcW w:w="14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93,360</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991,426</w:t>
            </w:r>
          </w:p>
        </w:tc>
        <w:tc>
          <w:tcPr>
            <w:tcW w:w="1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974,162</w:t>
            </w: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137,578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CANAAN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COMPREHANSIVE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of RMB, except share and per share data, or as otherwise noted)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338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6"/>
                <w:szCs w:val="16"/>
                <w:b w:val="1"/>
                <w:bCs w:val="1"/>
                <w:color w:val="auto"/>
                <w:w w:val="93"/>
              </w:rPr>
              <w:t>For the Three Months Ended</w:t>
            </w:r>
          </w:p>
        </w:tc>
        <w:tc>
          <w:tcPr>
            <w:tcW w:w="1200" w:type="dxa"/>
            <w:vAlign w:val="bottom"/>
            <w:tcBorders>
              <w:bottom w:val="single" w:sz="8" w:color="auto"/>
            </w:tcBorders>
          </w:tcPr>
          <w:p>
            <w:pPr>
              <w:spacing w:after="0"/>
              <w:rPr>
                <w:sz w:val="18"/>
                <w:szCs w:val="18"/>
                <w:color w:val="auto"/>
              </w:rPr>
            </w:pPr>
          </w:p>
        </w:tc>
      </w:tr>
      <w:tr>
        <w:trPr>
          <w:trHeight w:val="210"/>
        </w:trPr>
        <w:tc>
          <w:tcPr>
            <w:tcW w:w="6660" w:type="dxa"/>
            <w:vAlign w:val="bottom"/>
          </w:tcPr>
          <w:p>
            <w:pPr>
              <w:spacing w:after="0"/>
              <w:rPr>
                <w:sz w:val="18"/>
                <w:szCs w:val="18"/>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09"/>
        </w:trPr>
        <w:tc>
          <w:tcPr>
            <w:tcW w:w="6660" w:type="dxa"/>
            <w:vAlign w:val="bottom"/>
          </w:tcPr>
          <w:p>
            <w:pPr>
              <w:spacing w:after="0"/>
              <w:rPr>
                <w:sz w:val="18"/>
                <w:szCs w:val="18"/>
                <w:color w:val="auto"/>
              </w:rPr>
            </w:pPr>
          </w:p>
        </w:tc>
        <w:tc>
          <w:tcPr>
            <w:tcW w:w="1420" w:type="dxa"/>
            <w:vAlign w:val="bottom"/>
          </w:tcPr>
          <w:p>
            <w:pPr>
              <w:jc w:val="right"/>
              <w:ind w:right="499"/>
              <w:spacing w:after="0"/>
              <w:rPr>
                <w:sz w:val="20"/>
                <w:szCs w:val="20"/>
                <w:color w:val="auto"/>
              </w:rPr>
            </w:pPr>
            <w:r>
              <w:rPr>
                <w:rFonts w:ascii="Arial" w:cs="Arial" w:eastAsia="Arial" w:hAnsi="Arial"/>
                <w:sz w:val="16"/>
                <w:szCs w:val="16"/>
                <w:b w:val="1"/>
                <w:bCs w:val="1"/>
                <w:color w:val="auto"/>
              </w:rPr>
              <w:t>RMB</w:t>
            </w:r>
          </w:p>
        </w:tc>
        <w:tc>
          <w:tcPr>
            <w:tcW w:w="140" w:type="dxa"/>
            <w:vAlign w:val="bottom"/>
          </w:tcPr>
          <w:p>
            <w:pPr>
              <w:spacing w:after="0"/>
              <w:rPr>
                <w:sz w:val="18"/>
                <w:szCs w:val="18"/>
                <w:color w:val="auto"/>
              </w:rPr>
            </w:pPr>
          </w:p>
        </w:tc>
        <w:tc>
          <w:tcPr>
            <w:tcW w:w="1440" w:type="dxa"/>
            <w:vAlign w:val="bottom"/>
          </w:tcPr>
          <w:p>
            <w:pPr>
              <w:jc w:val="center"/>
              <w:ind w:right="19"/>
              <w:spacing w:after="0"/>
              <w:rPr>
                <w:sz w:val="20"/>
                <w:szCs w:val="20"/>
                <w:color w:val="auto"/>
              </w:rPr>
            </w:pPr>
            <w:r>
              <w:rPr>
                <w:rFonts w:ascii="Arial" w:cs="Arial" w:eastAsia="Arial" w:hAnsi="Arial"/>
                <w:sz w:val="16"/>
                <w:szCs w:val="16"/>
                <w:b w:val="1"/>
                <w:bCs w:val="1"/>
                <w:color w:val="auto"/>
              </w:rPr>
              <w:t>RMB</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auto"/>
              </w:rPr>
              <w:t>US$</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revenues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Products revenue</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47,160</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67,032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9,467</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Leases revenue</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w:t>
            </w: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Services revenue</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Other revenue</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223</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r>
      <w:tr>
        <w:trPr>
          <w:trHeight w:val="207"/>
        </w:trPr>
        <w:tc>
          <w:tcPr>
            <w:tcW w:w="6660" w:type="dxa"/>
            <w:vAlign w:val="bottom"/>
          </w:tcPr>
          <w:p>
            <w:pPr>
              <w:spacing w:after="0"/>
              <w:rPr>
                <w:sz w:val="20"/>
                <w:szCs w:val="20"/>
                <w:color w:val="auto"/>
              </w:rPr>
            </w:pPr>
            <w:r>
              <w:rPr>
                <w:rFonts w:ascii="Arial" w:cs="Arial" w:eastAsia="Arial" w:hAnsi="Arial"/>
                <w:sz w:val="16"/>
                <w:szCs w:val="16"/>
                <w:b w:val="1"/>
                <w:bCs w:val="1"/>
                <w:color w:val="auto"/>
              </w:rPr>
              <w:t>Total net revenue</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47,218</w:t>
            </w:r>
          </w:p>
        </w:tc>
        <w:tc>
          <w:tcPr>
            <w:tcW w:w="1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68,273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9,641</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(46,755)</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(65,885)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(9,305)</w:t>
            </w:r>
          </w:p>
        </w:tc>
      </w:tr>
      <w:tr>
        <w:trPr>
          <w:trHeight w:val="206"/>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Gross profit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463</w:t>
            </w:r>
          </w:p>
        </w:tc>
        <w:tc>
          <w:tcPr>
            <w:tcW w:w="14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2,388</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w:t>
            </w:r>
          </w:p>
        </w:tc>
      </w:tr>
      <w:tr>
        <w:trPr>
          <w:trHeight w:val="213"/>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1420" w:type="dxa"/>
            <w:vAlign w:val="bottom"/>
          </w:tcPr>
          <w:p>
            <w:pPr>
              <w:jc w:val="right"/>
              <w:spacing w:after="0"/>
              <w:rPr>
                <w:sz w:val="20"/>
                <w:szCs w:val="20"/>
                <w:color w:val="auto"/>
              </w:rPr>
            </w:pPr>
            <w:r>
              <w:rPr>
                <w:rFonts w:ascii="Arial" w:cs="Arial" w:eastAsia="Arial" w:hAnsi="Arial"/>
                <w:sz w:val="16"/>
                <w:szCs w:val="16"/>
                <w:color w:val="auto"/>
              </w:rPr>
              <w:t>(31,315)</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(41,794)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(5,902)</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Selling and marketing expenses</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r>
      <w:tr>
        <w:trPr>
          <w:trHeight w:val="21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 expenses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(24,823)</w:t>
            </w: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(27,589)</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w:t>
            </w:r>
          </w:p>
        </w:tc>
      </w:tr>
      <w:tr>
        <w:trPr>
          <w:trHeight w:val="213"/>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(58,470)</w:t>
            </w:r>
          </w:p>
        </w:tc>
        <w:tc>
          <w:tcPr>
            <w:tcW w:w="14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(73,515)</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(10,382)</w:t>
            </w:r>
          </w:p>
        </w:tc>
      </w:tr>
      <w:tr>
        <w:trPr>
          <w:trHeight w:val="207"/>
        </w:trPr>
        <w:tc>
          <w:tcPr>
            <w:tcW w:w="6660" w:type="dxa"/>
            <w:vAlign w:val="bottom"/>
          </w:tcPr>
          <w:p>
            <w:pPr>
              <w:spacing w:after="0"/>
              <w:rPr>
                <w:sz w:val="20"/>
                <w:szCs w:val="20"/>
                <w:color w:val="auto"/>
              </w:rPr>
            </w:pPr>
            <w:r>
              <w:rPr>
                <w:rFonts w:ascii="Arial" w:cs="Arial" w:eastAsia="Arial" w:hAnsi="Arial"/>
                <w:sz w:val="16"/>
                <w:szCs w:val="16"/>
                <w:b w:val="1"/>
                <w:bCs w:val="1"/>
                <w:color w:val="auto"/>
              </w:rPr>
              <w:t>Loss from operations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421</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w:t>
            </w: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Investment income</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1,063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150</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and guarantee fee</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Foreign exchange (loss) gain</w:t>
            </w:r>
          </w:p>
        </w:tc>
        <w:tc>
          <w:tcPr>
            <w:tcW w:w="1420" w:type="dxa"/>
            <w:vAlign w:val="bottom"/>
          </w:tcPr>
          <w:p>
            <w:pPr>
              <w:jc w:val="right"/>
              <w:spacing w:after="0"/>
              <w:rPr>
                <w:sz w:val="20"/>
                <w:szCs w:val="20"/>
                <w:color w:val="auto"/>
              </w:rPr>
            </w:pPr>
            <w:r>
              <w:rPr>
                <w:rFonts w:ascii="Arial" w:cs="Arial" w:eastAsia="Arial" w:hAnsi="Arial"/>
                <w:sz w:val="16"/>
                <w:szCs w:val="16"/>
                <w:color w:val="auto"/>
              </w:rPr>
              <w:t>(854)</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Others, net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3,470</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29,239</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4,129</w:t>
            </w:r>
          </w:p>
        </w:tc>
      </w:tr>
      <w:tr>
        <w:trPr>
          <w:trHeight w:val="207"/>
        </w:trPr>
        <w:tc>
          <w:tcPr>
            <w:tcW w:w="6660" w:type="dxa"/>
            <w:vAlign w:val="bottom"/>
          </w:tcPr>
          <w:p>
            <w:pPr>
              <w:spacing w:after="0"/>
              <w:rPr>
                <w:sz w:val="20"/>
                <w:szCs w:val="20"/>
                <w:color w:val="auto"/>
              </w:rPr>
            </w:pPr>
            <w:r>
              <w:rPr>
                <w:rFonts w:ascii="Arial" w:cs="Arial" w:eastAsia="Arial" w:hAnsi="Arial"/>
                <w:sz w:val="16"/>
                <w:szCs w:val="16"/>
                <w:b w:val="1"/>
                <w:bCs w:val="1"/>
                <w:color w:val="auto"/>
              </w:rPr>
              <w:t>Loss before income tax expenses</w:t>
            </w:r>
          </w:p>
        </w:tc>
        <w:tc>
          <w:tcPr>
            <w:tcW w:w="1420" w:type="dxa"/>
            <w:vAlign w:val="bottom"/>
          </w:tcPr>
          <w:p>
            <w:pPr>
              <w:jc w:val="right"/>
              <w:spacing w:after="0"/>
              <w:rPr>
                <w:sz w:val="20"/>
                <w:szCs w:val="20"/>
                <w:color w:val="auto"/>
              </w:rPr>
            </w:pPr>
            <w:r>
              <w:rPr>
                <w:rFonts w:ascii="Arial" w:cs="Arial" w:eastAsia="Arial" w:hAnsi="Arial"/>
                <w:sz w:val="16"/>
                <w:szCs w:val="16"/>
                <w:color w:val="auto"/>
              </w:rPr>
              <w:t>(67,857)</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(39,946)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(5,642)</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20" w:type="dxa"/>
            <w:vAlign w:val="bottom"/>
            <w:gridSpan w:val="3"/>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47"/>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loss</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(67,857)</w:t>
            </w:r>
          </w:p>
        </w:tc>
        <w:tc>
          <w:tcPr>
            <w:tcW w:w="140" w:type="dxa"/>
            <w:vAlign w:val="bottom"/>
            <w:tcBorders>
              <w:bottom w:val="single" w:sz="8" w:color="CFF0FC"/>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(39,946)</w:t>
            </w: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(5,642)</w:t>
            </w:r>
          </w:p>
        </w:tc>
      </w:tr>
      <w:tr>
        <w:trPr>
          <w:trHeight w:val="200"/>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Foreign currency translation adjustment, net of nil tax</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18,993</w:t>
            </w:r>
          </w:p>
        </w:tc>
        <w:tc>
          <w:tcPr>
            <w:tcW w:w="140" w:type="dxa"/>
            <w:vAlign w:val="bottom"/>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6,483</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916</w:t>
            </w:r>
          </w:p>
        </w:tc>
      </w:tr>
      <w:tr>
        <w:trPr>
          <w:trHeight w:val="246"/>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comprehensive loss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(48,864)</w:t>
            </w:r>
          </w:p>
        </w:tc>
        <w:tc>
          <w:tcPr>
            <w:tcW w:w="140" w:type="dxa"/>
            <w:vAlign w:val="bottom"/>
            <w:tcBorders>
              <w:bottom w:val="single" w:sz="8" w:color="CFF0FC"/>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(33,463)</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w:t>
            </w:r>
          </w:p>
        </w:tc>
      </w:tr>
      <w:tr>
        <w:trPr>
          <w:trHeight w:val="186"/>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Weighted average number of shares</w:t>
            </w:r>
          </w:p>
        </w:tc>
        <w:tc>
          <w:tcPr>
            <w:tcW w:w="1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216"/>
        </w:trPr>
        <w:tc>
          <w:tcPr>
            <w:tcW w:w="66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used in per share calculation:</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 Basic and diluted</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2,029,528,768</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2,350,123,270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2,350,123,270</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loss per share (cent per share)</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 Basic and diluted</w:t>
            </w:r>
          </w:p>
        </w:tc>
        <w:tc>
          <w:tcPr>
            <w:tcW w:w="1420" w:type="dxa"/>
            <w:vAlign w:val="bottom"/>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205"/>
        </w:trPr>
        <w:tc>
          <w:tcPr>
            <w:tcW w:w="6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Share-based compensation expenses</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6"/>
        </w:trPr>
        <w:tc>
          <w:tcPr>
            <w:tcW w:w="66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were included in:</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3"/>
        </w:trPr>
        <w:tc>
          <w:tcPr>
            <w:tcW w:w="666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2,404</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1,120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158</w:t>
            </w:r>
          </w:p>
        </w:tc>
      </w:tr>
      <w:tr>
        <w:trPr>
          <w:trHeight w:val="21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 expenses</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r>
      <w:tr>
        <w:trPr>
          <w:trHeight w:val="210"/>
        </w:trPr>
        <w:tc>
          <w:tcPr>
            <w:tcW w:w="66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1,422</w:t>
            </w:r>
          </w:p>
        </w:tc>
        <w:tc>
          <w:tcPr>
            <w:tcW w:w="1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net loss to non-GAAP adjusted net loss for the period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19"/>
                <w:szCs w:val="19"/>
                <w:color w:val="auto"/>
              </w:rPr>
            </w:pPr>
          </w:p>
        </w:tc>
        <w:tc>
          <w:tcPr>
            <w:tcW w:w="31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For the three months</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1"/>
        </w:trPr>
        <w:tc>
          <w:tcPr>
            <w:tcW w:w="6660" w:type="dxa"/>
            <w:vAlign w:val="bottom"/>
          </w:tcPr>
          <w:p>
            <w:pPr>
              <w:spacing w:after="0"/>
              <w:rPr>
                <w:sz w:val="20"/>
                <w:szCs w:val="20"/>
                <w:color w:val="auto"/>
              </w:rPr>
            </w:pPr>
          </w:p>
        </w:tc>
        <w:tc>
          <w:tcPr>
            <w:tcW w:w="3140" w:type="dxa"/>
            <w:vAlign w:val="bottom"/>
            <w:gridSpan w:val="4"/>
          </w:tcPr>
          <w:p>
            <w:pPr>
              <w:jc w:val="center"/>
              <w:ind w:right="240"/>
              <w:spacing w:after="0" w:line="207" w:lineRule="exact"/>
              <w:rPr>
                <w:sz w:val="20"/>
                <w:szCs w:val="20"/>
                <w:color w:val="auto"/>
              </w:rPr>
            </w:pPr>
            <w:r>
              <w:rPr>
                <w:rFonts w:ascii="Arial" w:cs="Arial" w:eastAsia="Arial" w:hAnsi="Arial"/>
                <w:sz w:val="18"/>
                <w:szCs w:val="18"/>
                <w:b w:val="1"/>
                <w:bCs w:val="1"/>
                <w:color w:val="auto"/>
                <w:w w:val="95"/>
              </w:rPr>
              <w:t>ended March 31</w:t>
            </w:r>
            <w:r>
              <w:rPr>
                <w:rFonts w:ascii="MS PGothic" w:cs="MS PGothic" w:eastAsia="MS PGothic" w:hAnsi="MS PGothic"/>
                <w:sz w:val="18"/>
                <w:szCs w:val="18"/>
                <w:color w:val="auto"/>
                <w:w w:val="95"/>
              </w:rPr>
              <w:t>，</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6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RMB</w:t>
            </w:r>
          </w:p>
        </w:tc>
        <w:tc>
          <w:tcPr>
            <w:tcW w:w="140" w:type="dxa"/>
            <w:vAlign w:val="bottom"/>
          </w:tcPr>
          <w:p>
            <w:pPr>
              <w:spacing w:after="0"/>
              <w:rPr>
                <w:sz w:val="19"/>
                <w:szCs w:val="19"/>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RMB</w:t>
            </w:r>
          </w:p>
        </w:tc>
        <w:tc>
          <w:tcPr>
            <w:tcW w:w="140" w:type="dxa"/>
            <w:vAlign w:val="bottom"/>
          </w:tcPr>
          <w:p>
            <w:pPr>
              <w:spacing w:after="0"/>
              <w:rPr>
                <w:sz w:val="19"/>
                <w:szCs w:val="19"/>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US$</w:t>
            </w:r>
          </w:p>
        </w:tc>
        <w:tc>
          <w:tcPr>
            <w:tcW w:w="2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(5,642)</w:t>
            </w:r>
          </w:p>
        </w:tc>
        <w:tc>
          <w:tcPr>
            <w:tcW w:w="20" w:type="dxa"/>
            <w:vAlign w:val="bottom"/>
          </w:tcPr>
          <w:p>
            <w:pPr>
              <w:spacing w:after="0"/>
              <w:rPr>
                <w:sz w:val="19"/>
                <w:szCs w:val="19"/>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 Share-based compensation expense</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3,936</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1,731</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r>
      <w:tr>
        <w:trPr>
          <w:trHeight w:val="223"/>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adjusted net loss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(63,921)</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(38,215)</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(5,397)</w:t>
            </w:r>
          </w:p>
        </w:tc>
        <w:tc>
          <w:tcPr>
            <w:tcW w:w="2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6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5533390</wp:posOffset>
            </wp:positionH>
            <wp:positionV relativeFrom="paragraph">
              <wp:posOffset>-1251585</wp:posOffset>
            </wp:positionV>
            <wp:extent cx="19685" cy="32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85" cy="3238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2020-05-22T05:08:42Z</dcterms:created>
  <dcterms:modified xsi:type="dcterms:W3CDTF">2020-05-22T05:08:42Z</dcterms:modified>
</cp:coreProperties>
</file>