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8,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Nangeng Zhang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Canaan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30/F, Dicara Silver Tower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 Jiefang East Road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Jianggan District, Hangzhou 310016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People's Republic of China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Canaan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28, 2019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F-1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5,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333-234356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Zhang: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F-1 filed November 5,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16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how, with your multi-class structure with different voting rights, you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 whether more than 50 percent of your outstanding voting securities are owned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record by U.S. residents for purposes of satisfying the foreign private issuer definition.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Securities Act Rule 405, Exchange Act Rule 3b-4 and Securities Act Rules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4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and Disclosure Interpretation 203.17. Nangeng Zhang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9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LastNameNangeng Zhang Canaan Inc.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67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8, 2019 November NameCanaan Inc. Page 2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8, 2019 Page 2 FirstName LastName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ADS holders may not be entitled to a jury trial . . ., page 49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1. This risk factor indicates that courts in New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York have non-exclusive jurisdiction, but the second risk factor on page 50 indicates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courts have exclusive jurisdiction. Please reconcile. Please also revise to clarify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you believe the jury trial waiver provision would apply to claims arising after, but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before, an ADS holder withdrew the underlying shares. Your rights to pursue claims against the depositary . . ., page 50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revisions in response to prior comment 2 to clarify the material risks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this provision, such as increased costs, the possibility of less favorable outcomes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whether it may discourage or limit suits against you or the depositary. Please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whether this provision would apply if an ADS holder withdrew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shares. Further, please revise here and on page 166 to state clearly that</w:t>
      </w:r>
    </w:p>
    <w:p>
      <w:pPr>
        <w:sectPr>
          <w:pgSz w:w="11900" w:h="16853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right="25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cannot waive your and depositary's compliance with the federal securities laws,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merely that investors will not be deemed to have waived such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Conversion, page 148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clarify who is considered an "affiliate." Also revise to clarify the types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transfers that would cause the shares to convert. For example, do the shares convert upon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death of the holder?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reconcile the assumption in paragraph 2.3 of Exhibit 5.1 with the documents listed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section 1. Also tell us how the assumption in that paragraph is appropriate.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paragraph 3.4 of Exhibit 5.1 and page 3 of Exhibit</w:t>
      </w:r>
    </w:p>
    <w:p>
      <w:pPr>
        <w:ind w:left="640" w:hanging="632"/>
        <w:spacing w:after="0" w:line="238" w:lineRule="auto"/>
        <w:tabs>
          <w:tab w:leader="none" w:pos="6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statements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disclosure under the heading "Taxation" are counsel's opinion, then their opinion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must state so, not merely that the disclosures are "accurate." Please file revised opinions.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84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Kristin Lochhead at (202) 551-3664 or Brian Cascio, Accounting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(202) 551-3676 if you have questions regarding comments on the financial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and related matters. Please contact Tom Jones at (202) 551-3602 or Geoff Kruczek,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Attorney, at (202) 551-3641 with any other questions.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Nangeng Zhang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Canaan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8, 2019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LastNameNangeng Zhang</w:t>
      </w: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NameCanaan Inc.</w:t>
      </w:r>
    </w:p>
    <w:p>
      <w:pPr>
        <w:jc w:val="center"/>
        <w:ind w:right="1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8, 2019 Page 3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6739" w:firstLine="8"/>
        <w:spacing w:after="0" w:line="235" w:lineRule="auto"/>
        <w:tabs>
          <w:tab w:leader="none" w:pos="105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 K.H. Lin, Esquire FirstName LastName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99.%1."/>
      <w:numFmt w:val="decimal"/>
      <w:start w:val="2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2019-12-19T23:02:24Z</dcterms:created>
  <dcterms:modified xsi:type="dcterms:W3CDTF">2019-12-19T23:02:24Z</dcterms:modified>
</cp:coreProperties>
</file>