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Canaan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underlying American Depository Shares (each representing 15 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Weiss Asset Management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583,504,230.00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583,504,230.00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583,504,230.00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WAM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583,504,230.00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583,504,230.00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583,504,230.00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WEISS ANDREW M</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583,504,230.00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583,504,230.00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583,504,230.00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Canaan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 AYER RAJAH CRESCENT, #06-08, SINGAPORE, SINGAPORE, 139959.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Weiss Asset Management LP ("Weiss Asset Management"). (ii) WAM GP LLC ("WAM GP"). (iii) Andrew M. Weiss, Ph.D. ("Andrew Weiss").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Weiss Asset Management, WAM GP, and Andrew Weiss have a business address of 222 Berkeley St., 16th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(i) Weiss Asset Management is a Delaware limited partnership. (ii) WAM GP is a Delaware limited liability company. (iii) Andrew Weiss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underlying American Depository Shares (each representing 15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38,900,282 American Depository Shares, representing 583,504,230 Class A ordinary shares, par value US$0.00000005 per share. Weiss Asset Management is the sole investment manager to a private investment partnership and a private investment fund (together, "Funds"). WAM GP is the sole general partner of Weiss Asset Management. Andrew Weiss is the managing member of WAM GP. Shares reported for WAM GP, Andrew Weiss and Weiss Asset Management include shares beneficially owned by the Funds. Each of WAM GP, Weiss Asset Management, and Andrew Weiss disclaims beneficial ownership of the shares reported herein as beneficially owned by each except to the extent of their respective pecuniary interest therein. The percent of class computations are based on 11,237,922,873 Class A ordinary shares, par value US$0.00000005 per share, as of May 22, 2026, as reported in the Form POS AM of the Issuer, which was filed with the SEC on May 22, 2026. The Class A ordinary shares have no CUSIP number. The CUSIP number for the American Depository Shares, each representing 15 Class A ordinary shares, is 134748102.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583,504,230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583,504,230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4.</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Weiss Asset Management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Georgiy Nikitin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WAM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Georgiy Nikitin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WEISS ANDREW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Georgiy Nikitin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 for Andrew M. Weiss**</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Duly authorized under Power of Attorney incorporated herein by reference to the exhibit to the Form 13G/A filed by Weiss Asset Management LP on January 25, 2017 in respect of its holding in Quinpario Acquisition Corp. 2.</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center"/>
              <w:rPr>
                <w:b/>
              </w:rPr>
            </w:pPr>
            <w:r>
              <w:rPr>
                <w:b/>
              </w:rPr>
              <w:t xml:space="preserve">Exhibit Information </w:t>
            </w:r>
          </w:p>
        </w:tc>
      </w:tr>
      <w:tr>
        <w:trPr/>
        <w:tc>
          <w:tcPr>
            <w:tcW w:w="2341" w:type="dxa"/>
            <w:tcBorders/>
            <w:vAlign w:val="center"/>
          </w:tcPr>
          <w:p>
            <w:pPr>
              <w:pStyle w:val="TableContents"/>
              <w:bidi w:val="0"/>
              <w:spacing w:before="0" w:after="283"/>
              <w:jc w:val="left"/>
              <w:rPr/>
            </w:pPr>
            <w:r>
              <w:rPr/>
              <w:t>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1334</Words>
  <Characters>7004</Characters>
  <CharactersWithSpaces>8290</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