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August 2023</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4780"/>
        <w:spacing w:after="0"/>
        <w:rPr>
          <w:sz w:val="20"/>
          <w:szCs w:val="20"/>
          <w:color w:val="auto"/>
        </w:rPr>
      </w:pPr>
      <w:r>
        <w:rPr>
          <w:rFonts w:ascii="Arial" w:cs="Arial" w:eastAsia="Arial" w:hAnsi="Arial"/>
          <w:sz w:val="32"/>
          <w:szCs w:val="32"/>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28 Ayer Rajah Crescent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#06-08</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Singapore 139959</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320"/>
        <w:spacing w:after="0" w:line="207" w:lineRule="exact"/>
        <w:tabs>
          <w:tab w:leader="none" w:pos="60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08" w:right="1440" w:bottom="1440" w:gutter="0" w:footer="0" w:header="0"/>
        </w:sectPr>
      </w:pPr>
    </w:p>
    <w:bookmarkStart w:id="1" w:name="page2"/>
    <w:bookmarkEnd w:id="1"/>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17145</wp:posOffset>
            </wp:positionV>
            <wp:extent cx="6412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6"/>
          <w:szCs w:val="16"/>
          <w:u w:val="single" w:color="auto"/>
          <w:color w:val="0000EE"/>
        </w:rPr>
        <w:t>Canaan Inc. Reports Unaudited Second Quarter 2023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904"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Canaan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Nangeng Zhang</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8"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Canaan Inc. Reports Unaudited Second Quarter 2023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Total Computing Power Sold Achieved 6.1 Million Thash/s, up 45.2% QoQ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Bitcoin Mining Revenues Reached US$15.9 Million, up 43.3% QoQ -</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Singapore, August 29, 2023 /PRNewswire/ -- Canaan Inc. (NASDAQ: CAN) (“Canaan” or the “Company”), a leading high-performance computing solutions provider, today announced its unaudited financial results for the three months ended June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Operating and Financial Highlights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Total computing power sold </w:t>
      </w:r>
      <w:r>
        <w:rPr>
          <w:rFonts w:ascii="Arial" w:cs="Arial" w:eastAsia="Arial" w:hAnsi="Arial"/>
          <w:sz w:val="18"/>
          <w:szCs w:val="18"/>
          <w:color w:val="auto"/>
        </w:rPr>
        <w:t>was 6.1 million Thash/s, representing an increase of 44.2% from 4.2 million Thash/s in the first quarter of 2023 and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11.7% from 5.5 million Thash/s in the same period of 2022.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were US$73.9 million, as compared to US$55.2 million in the first quarter of 2023 and US$245.9 million in the same period of 2022.</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Mining revenue </w:t>
      </w:r>
      <w:r>
        <w:rPr>
          <w:rFonts w:ascii="Arial" w:cs="Arial" w:eastAsia="Arial" w:hAnsi="Arial"/>
          <w:sz w:val="18"/>
          <w:szCs w:val="18"/>
          <w:color w:val="auto"/>
        </w:rPr>
        <w:t>was US$15.9 million, representing an increase of 43.3% from US$11.1 million in the first quarter of 2023 and an increase of 105.1% from</w:t>
      </w:r>
      <w:r>
        <w:rPr>
          <w:rFonts w:ascii="Arial" w:cs="Arial" w:eastAsia="Arial" w:hAnsi="Arial"/>
          <w:sz w:val="18"/>
          <w:szCs w:val="18"/>
          <w:b w:val="1"/>
          <w:bCs w:val="1"/>
          <w:color w:val="auto"/>
        </w:rPr>
        <w:t xml:space="preserve"> </w:t>
      </w:r>
      <w:r>
        <w:rPr>
          <w:rFonts w:ascii="Arial" w:cs="Arial" w:eastAsia="Arial" w:hAnsi="Arial"/>
          <w:sz w:val="18"/>
          <w:szCs w:val="18"/>
          <w:color w:val="auto"/>
        </w:rPr>
        <w:t>US$7.8 million in the same period of 2022.</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Nangeng Zhang, Chairman and Chief Executive Officer of Canaan, commented, “We navigated the challenges in the second quarter of 2023, surpassing our topline guidance to achieve US$73.9 million in revenue. Despite the relatively stagnant bitcoin price in the second quarter, our endeavor to drive sales across various fronts, including major clients, channels, and retail, yielded encouraging results. This effort propelled our total computing power sold to a remarkable 6.1EH/s, up 44% sequentially. Our partnerships with channel clients proved fruitful, while our online retail store continued to capture new clientele from diverse geographical regions. Our mining revenue further set a new historic high in the second quarter of 2023. Recently, we have expanded into new mining projects in Africa and South America.”</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“Admittedly, we are still facing a market that has yet to recover with soft purchasing power on the demand front, generating continued pressure on our sales. Recently, we also encountered adverse impacts from regional regulatory changes and a particular partner’s breach of agreement in respect of our mining operations. However, our unwavering faith in bitcoin’s potential remains steadfast. We will intensify our sales efforts to secure a more significant market share, enhance our product offerings to achieve peak performance, and propel our mining operations to accumulate valuable bitcoin assets. All of these efforts are geared towards strengthening our presence and generating value for our shareholders in the long run.”</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James Jin Cheng, Chief Financial Officer of Canaan, stated, “In the second quarter of 2023, we observed improvement in both our sales and mining activities, which contributed to our better-than-expected revenue performance. Despite a decrease in average selling price, our product sales grew by 31.3% quarter over quarter, driven by increases in total computing power sold. This reflects our efforts to solidify our market share, destock inventory, and promote cash inflows in a fiercely competitive market environment. Besides our sales performance, our mining operations also demonstrated growth, resulting in a notable 115% increase in cryptocurrency assets on our balance sheet compared sequentially, among which 747 bitcoins were owned by the Company. This gain was attributed to improved uptime and enhanced bitcoin rewards during this second quarter. In the second quarter, we recorded a net loss of US$110.7 million, which included inventory write-down, provision for commitment reserve and impairment of property and equipment, totaling US$54.7 million. These non-cash accruals and provisions reflect our consideration of the latest selling price change, regulation changes in Kazakhstan, and the default by the partner at a U.S. project, which did not influence our cash flow.”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75" w:lineRule="auto"/>
        <w:rPr>
          <w:sz w:val="20"/>
          <w:szCs w:val="20"/>
          <w:color w:val="auto"/>
        </w:rPr>
      </w:pPr>
      <w:r>
        <w:rPr>
          <w:rFonts w:ascii="Arial" w:cs="Arial" w:eastAsia="Arial" w:hAnsi="Arial"/>
          <w:sz w:val="17"/>
          <w:szCs w:val="17"/>
          <w:color w:val="auto"/>
        </w:rPr>
        <w:t>“Above all, we recognize the severe emerging challenges that may impede our business operations. These challenges encompass regulatory shifts across countries, counterparty risks within this evolving market, and the broader economic landscape’s unpredictability as well as unforeseen events that may pressure the bitcoin price. As we navigate the market, we remain committed to cautious investments in securing advanced wafer supply as well as research and development for product performance enhancement. In light of market headwinds, we will continue to focus on generating cash inflows with prudent expense management to ensure operational continuity and position us for future opportunities.”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Results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 the second quarter of 2023 were US$73.9 million, as compared to US$55.2 million in the first quarter of 2023 and US$245.9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2022. Total revenues consisted of US$57.9 million in products revenue, US$15.9 million in mining revenue and US$17 thousand in other revenues.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Products revenue </w:t>
      </w:r>
      <w:r>
        <w:rPr>
          <w:rFonts w:ascii="Arial" w:cs="Arial" w:eastAsia="Arial" w:hAnsi="Arial"/>
          <w:sz w:val="17"/>
          <w:szCs w:val="17"/>
          <w:color w:val="auto"/>
        </w:rPr>
        <w:t>in the second quarter of 2023 was US$57.9 million, compared to US$44.1 million in the first quarter of 2023 and US$238.1 million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of 2022. The increase compared to the first quarter of 2023 was mainly due to a sequential increase in total computing power sold, despite the lower selling price which resulted from overall soft purchasing power from the market demand front. The decrease compared to the second quarter of 2022 was mainly due to the lower selling price which resulted from the declining bitcoin price. AI product revenue was US$0.1 million in the second quarter of 2023, as compared to US$0.4 million in the first quarter of 2023 and US$0.2 million in the same period of 2022.</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Mining revenue </w:t>
      </w:r>
      <w:r>
        <w:rPr>
          <w:rFonts w:ascii="Arial" w:cs="Arial" w:eastAsia="Arial" w:hAnsi="Arial"/>
          <w:sz w:val="18"/>
          <w:szCs w:val="18"/>
          <w:color w:val="auto"/>
        </w:rPr>
        <w:t>in the second quarter of 2023 was US$15.9 million, representing an increase of 43.3% from US$11.1 million in the first quarter of 2023</w:t>
      </w:r>
      <w:r>
        <w:rPr>
          <w:rFonts w:ascii="Arial" w:cs="Arial" w:eastAsia="Arial" w:hAnsi="Arial"/>
          <w:sz w:val="18"/>
          <w:szCs w:val="18"/>
          <w:b w:val="1"/>
          <w:bCs w:val="1"/>
          <w:color w:val="auto"/>
        </w:rPr>
        <w:t xml:space="preserve"> </w:t>
      </w:r>
      <w:r>
        <w:rPr>
          <w:rFonts w:ascii="Arial" w:cs="Arial" w:eastAsia="Arial" w:hAnsi="Arial"/>
          <w:sz w:val="18"/>
          <w:szCs w:val="18"/>
          <w:color w:val="auto"/>
        </w:rPr>
        <w:t>and an increase of 105.1% from US$7.8 million in the same period of 2022. The sequential increase was mainly driven by the bitcoin price recovery and increased bitcoin rewards across the network during the quarter. The year-over-year increase was mainly attributable to the increased computing power energized for mining.</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in the second quarter of 2023 was US$143.9 million, compared to US$102.8 million in the first quarter of 2023 and US$107.6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of 2022.</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Products costs </w:t>
      </w:r>
      <w:r>
        <w:rPr>
          <w:rFonts w:ascii="Arial" w:cs="Arial" w:eastAsia="Arial" w:hAnsi="Arial"/>
          <w:sz w:val="17"/>
          <w:szCs w:val="17"/>
          <w:color w:val="auto"/>
        </w:rPr>
        <w:t>in the second quarter of 2023 were US$113.3 million, compared to US$75.4 million in the first quarter of 2023 and US$96.0 million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of 2022. The year-over-year and the sequential increase were mainly due to the increase in production cost of the A13 series and more inventory write-down, prepayment write-down and provision for reserve for inventory purchase commitments accrued in the second quarter of 2023, which resulted from lower subsequent selling prices. The inventory write-down, prepayment write-down and provision for reserve for inventory purchase commitments accrued for this quarter was US$45.9 million, compared to US$34.9 million for the first quarter of 2023 and US$0.1 million for the same period of 2022. Products costs consist of direct production costs of mining machines and AI products and indirect costs related to production, as well as inventory write-down, prepayment write-down and provision for reserve for inventory purchase commitments.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303" w:lineRule="auto"/>
        <w:rPr>
          <w:sz w:val="20"/>
          <w:szCs w:val="20"/>
          <w:color w:val="auto"/>
        </w:rPr>
      </w:pPr>
      <w:r>
        <w:rPr>
          <w:rFonts w:ascii="Arial" w:cs="Arial" w:eastAsia="Arial" w:hAnsi="Arial"/>
          <w:sz w:val="16"/>
          <w:szCs w:val="16"/>
          <w:b w:val="1"/>
          <w:bCs w:val="1"/>
          <w:color w:val="auto"/>
        </w:rPr>
        <w:t xml:space="preserve">Mining costs </w:t>
      </w:r>
      <w:r>
        <w:rPr>
          <w:rFonts w:ascii="Arial" w:cs="Arial" w:eastAsia="Arial" w:hAnsi="Arial"/>
          <w:sz w:val="16"/>
          <w:szCs w:val="16"/>
          <w:color w:val="auto"/>
        </w:rPr>
        <w:t>in the second quarter of 2023 were US$30.6 million, compared to US$27.3 million in the first quarter of 2023 and US$11.5 million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of 2022. Mining costs herein consist of direct production costs of mining operations, including electricity and hosting, as well as depreciation and amortization. The depreciation in this quarter for deployed mining machines was US$16.2 million, compared to US$16.3 million in the first quarter of 2023 and US$10.1 million in the same period of 2022. The year-over-year increase was mainly due to the increase in mining capacity.</w:t>
      </w:r>
    </w:p>
    <w:p>
      <w:pPr>
        <w:spacing w:after="0" w:line="15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Gross loss </w:t>
      </w:r>
      <w:r>
        <w:rPr>
          <w:rFonts w:ascii="Arial" w:cs="Arial" w:eastAsia="Arial" w:hAnsi="Arial"/>
          <w:sz w:val="18"/>
          <w:szCs w:val="18"/>
          <w:color w:val="auto"/>
        </w:rPr>
        <w:t>in the second quarter of 2023 was US$70.1 million, compared to a gross loss of US$47.5 million in the first quarter of 2023 and a gross profit of</w:t>
      </w:r>
      <w:r>
        <w:rPr>
          <w:rFonts w:ascii="Arial" w:cs="Arial" w:eastAsia="Arial" w:hAnsi="Arial"/>
          <w:sz w:val="18"/>
          <w:szCs w:val="18"/>
          <w:b w:val="1"/>
          <w:bCs w:val="1"/>
          <w:color w:val="auto"/>
        </w:rPr>
        <w:t xml:space="preserve"> </w:t>
      </w:r>
      <w:r>
        <w:rPr>
          <w:rFonts w:ascii="Arial" w:cs="Arial" w:eastAsia="Arial" w:hAnsi="Arial"/>
          <w:sz w:val="18"/>
          <w:szCs w:val="18"/>
          <w:color w:val="auto"/>
        </w:rPr>
        <w:t>US$138.3 million in the same period of 2022.</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in the second quarter of 2023 were US$49.0 million, compared to US$38.1 million in the first quarter of 2023 and US$45.4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same period of 2022.</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expenses in the second quarter of 2023 were US$17.9 million, compared to US$19.1 million in the first quarter of 2023 and US$15.6 million in the same period of 2022. The sequential decrease was primarily due to the decrease in research and development expenditure in the second quarter of 2023. The year-over-year increase was primarily attributable to an increase of US$2.5 million in staff costs in technology-related departments. Research and development expenses in the second quarter of 2023 also included share-based compensation expenses of US$2.5 million.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 the second quarter of 2023 were US$2.4 million, compared to US$1.5 million in the first quarter of 2023 and US$3.2 million in the same period of 2022. The sequential increase was mainly due to a US$0.8 million increase in staff costs and share-based compensation expenses. The year-over-year decrease was mainly due to a decrease of US$0.5 million in share-based compensation expenses. Sales and marketing expenses in the second quarter of 2023 also included share-based compensation expenses of US$0.2 million.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expenses in the second quarter of 2023 were US$26.4 million, compared to US$17.6 million in the first quarter of 2023 and US$22.1 million in the same period of 2022. The sequential increase was mainly due to US$8.8 million in impairment of property and equipment, an increase of US$1.7 million in professional service fees and an increase of US$0.9 million in staff costs, partially offset by a decrease of US$2.1 million in share-based compensation expenses. The year-over-year increase was mainly due to US$8.8 million in impairment of property and equipment and an increase of US$2.5 million in staff costs, partially offset by US$3.6 million of realized gain on bitcoin sold in the second quarter of 2023 and a decrease of US$4.4 million in share-based compensation expenses. General and administrative expenses in the second quarter of 2023 also included share-based compensation expenses of US$8.3 million.</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on cryptocurrency </w:t>
      </w:r>
      <w:r>
        <w:rPr>
          <w:rFonts w:ascii="Arial" w:cs="Arial" w:eastAsia="Arial" w:hAnsi="Arial"/>
          <w:sz w:val="18"/>
          <w:szCs w:val="18"/>
          <w:color w:val="auto"/>
        </w:rPr>
        <w:t>in the second quarter of 2023 was US$2.4 million, compared to nil in the first quarter of 2023 and US$4.5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2022.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18"/>
          <w:szCs w:val="18"/>
          <w:b w:val="1"/>
          <w:bCs w:val="1"/>
          <w:color w:val="auto"/>
        </w:rPr>
        <w:t xml:space="preserve">Loss from operations </w:t>
      </w:r>
      <w:r>
        <w:rPr>
          <w:rFonts w:ascii="Arial" w:cs="Arial" w:eastAsia="Arial" w:hAnsi="Arial"/>
          <w:sz w:val="18"/>
          <w:szCs w:val="18"/>
          <w:color w:val="auto"/>
        </w:rPr>
        <w:t>in the second quarter of 2023 was US$119.1 million, compared to a loss from operations of US$85.7 million in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2023 and an income from operations of US$93.0 million in the same period of 2022.</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Non-GAAP loss from operations </w:t>
      </w:r>
      <w:r>
        <w:rPr>
          <w:rFonts w:ascii="Arial" w:cs="Arial" w:eastAsia="Arial" w:hAnsi="Arial"/>
          <w:sz w:val="18"/>
          <w:szCs w:val="18"/>
          <w:color w:val="auto"/>
        </w:rPr>
        <w:t>in the second quarter of 2023 was US$108.0 million, compared to a non-GAAP loss from operations of US$73.1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first quarter of 2023 and a non-GAAP income from operations of US$109.1 million in the same period of 2022. Non-GAAP income (loss) from operations excludes share-based compensation expenses. For further information, please refer to “Use of Non-GAAP Financial Measures” in this press release.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Foreign exchange gains, net </w:t>
      </w:r>
      <w:r>
        <w:rPr>
          <w:rFonts w:ascii="Arial" w:cs="Arial" w:eastAsia="Arial" w:hAnsi="Arial"/>
          <w:sz w:val="18"/>
          <w:szCs w:val="18"/>
          <w:color w:val="auto"/>
        </w:rPr>
        <w:t>in the second quarter of 2023 were US$2.6 million, compared with a loss of US$2.6 million in the first quarter of 2023 and a</w:t>
      </w:r>
      <w:r>
        <w:rPr>
          <w:rFonts w:ascii="Arial" w:cs="Arial" w:eastAsia="Arial" w:hAnsi="Arial"/>
          <w:sz w:val="18"/>
          <w:szCs w:val="18"/>
          <w:b w:val="1"/>
          <w:bCs w:val="1"/>
          <w:color w:val="auto"/>
        </w:rPr>
        <w:t xml:space="preserve"> </w:t>
      </w:r>
      <w:r>
        <w:rPr>
          <w:rFonts w:ascii="Arial" w:cs="Arial" w:eastAsia="Arial" w:hAnsi="Arial"/>
          <w:sz w:val="18"/>
          <w:szCs w:val="18"/>
          <w:color w:val="auto"/>
        </w:rPr>
        <w:t>gain of US$17.0 million in the same period of 2022, respectively. The foreign exchange gains were due to the US dollar appreciation against the Renminbi during the second quarter of 2023.</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in the second quarter of 2023 was US$110.7 million, compared to a net loss of US$84.4 million in the first quarter of 2023 and a net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US$90.1 million in the same period of 2022.</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Non-GAAP adjusted net loss </w:t>
      </w:r>
      <w:r>
        <w:rPr>
          <w:rFonts w:ascii="Arial" w:cs="Arial" w:eastAsia="Arial" w:hAnsi="Arial"/>
          <w:sz w:val="18"/>
          <w:szCs w:val="18"/>
          <w:color w:val="auto"/>
        </w:rPr>
        <w:t>in the second quarter of 2023 was US$99.6 million, as compared to a non-GAAP adjusted net loss of US$71.8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2023 and a non-GAAP adjusted net income of US$102.4 million in the same period of 2022. Non-GAAP adjusted net income (loss) excludes share-based compensation expenses and change in fair value of warrant liability. For further information, please refer to “Use of Non-GAAP Financial Measures” in this press release.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Foreign currency translation adjustment, net of nil tax</w:t>
      </w:r>
      <w:r>
        <w:rPr>
          <w:rFonts w:ascii="Arial" w:cs="Arial" w:eastAsia="Arial" w:hAnsi="Arial"/>
          <w:sz w:val="18"/>
          <w:szCs w:val="18"/>
          <w:color w:val="auto"/>
        </w:rPr>
        <w:t>, in the second quarter of 2023 was a loss of US$23.5 million, compared with a gain of</w:t>
      </w:r>
      <w:r>
        <w:rPr>
          <w:rFonts w:ascii="Arial" w:cs="Arial" w:eastAsia="Arial" w:hAnsi="Arial"/>
          <w:sz w:val="18"/>
          <w:szCs w:val="18"/>
          <w:b w:val="1"/>
          <w:bCs w:val="1"/>
          <w:color w:val="auto"/>
        </w:rPr>
        <w:t xml:space="preserve"> </w:t>
      </w:r>
      <w:r>
        <w:rPr>
          <w:rFonts w:ascii="Arial" w:cs="Arial" w:eastAsia="Arial" w:hAnsi="Arial"/>
          <w:sz w:val="18"/>
          <w:szCs w:val="18"/>
          <w:color w:val="auto"/>
        </w:rPr>
        <w:t>US$9.2 million in the first quarter of 2023 and a loss of US$25.6 million in the same period of 2022, respectively.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Basic and diluted net loss per American depositary share (“ADS”) </w:t>
      </w:r>
      <w:r>
        <w:rPr>
          <w:rFonts w:ascii="Arial" w:cs="Arial" w:eastAsia="Arial" w:hAnsi="Arial"/>
          <w:sz w:val="18"/>
          <w:szCs w:val="18"/>
          <w:color w:val="auto"/>
        </w:rPr>
        <w:t>in the second quarter of 2023 were US$0.65. In comparison, basic and diluted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per ADS in the first quarter of 2023 were US$0.51, while basic and diluted net earnings per ADS in the same period of 2022 were US$0.52. Each ADS represents 15 of the Company’s Class A ordinary shares.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As of June 30, 2023, the Company held </w:t>
      </w:r>
      <w:r>
        <w:rPr>
          <w:rFonts w:ascii="Arial" w:cs="Arial" w:eastAsia="Arial" w:hAnsi="Arial"/>
          <w:sz w:val="18"/>
          <w:szCs w:val="18"/>
          <w:b w:val="1"/>
          <w:bCs w:val="1"/>
          <w:color w:val="auto"/>
        </w:rPr>
        <w:t>cryptocurrency assets</w:t>
      </w:r>
      <w:r>
        <w:rPr>
          <w:rFonts w:ascii="Arial" w:cs="Arial" w:eastAsia="Arial" w:hAnsi="Arial"/>
          <w:sz w:val="18"/>
          <w:szCs w:val="18"/>
          <w:color w:val="auto"/>
        </w:rPr>
        <w:t xml:space="preserve"> that primarily comprised 1,125 bitcoins with a total carrying value of US$28.8 million, which consisted of 747 bitcoins owned by the Company and 378 bitcoins received as customer deposits.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of June 30, 2023, the Company had </w:t>
      </w:r>
      <w:r>
        <w:rPr>
          <w:rFonts w:ascii="Arial" w:cs="Arial" w:eastAsia="Arial" w:hAnsi="Arial"/>
          <w:sz w:val="17"/>
          <w:szCs w:val="17"/>
          <w:b w:val="1"/>
          <w:bCs w:val="1"/>
          <w:color w:val="auto"/>
        </w:rPr>
        <w:t>cash and cash equivalents</w:t>
      </w:r>
      <w:r>
        <w:rPr>
          <w:rFonts w:ascii="Arial" w:cs="Arial" w:eastAsia="Arial" w:hAnsi="Arial"/>
          <w:sz w:val="17"/>
          <w:szCs w:val="17"/>
          <w:color w:val="auto"/>
        </w:rPr>
        <w:t xml:space="preserve"> of US$66.1 million, compared to US$101.6 million as of December 31, 2022.</w:t>
      </w:r>
    </w:p>
    <w:p>
      <w:pPr>
        <w:spacing w:after="0" w:line="23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Accounts receivable, net </w:t>
      </w:r>
      <w:r>
        <w:rPr>
          <w:rFonts w:ascii="Arial" w:cs="Arial" w:eastAsia="Arial" w:hAnsi="Arial"/>
          <w:sz w:val="18"/>
          <w:szCs w:val="18"/>
          <w:color w:val="auto"/>
        </w:rPr>
        <w:t>as of June 30, 2023 was US$10.1 million, compared to nil as of December 31, 2022. Account receivable was mainly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 policy implemented for some major customers who meet certain conditions.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Shares Outstanding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2023, the Company had a total of 159,861,815 ADSs outstanding, each representing 15 of the Company’s Class A ordinary shares.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Kazakhstan Regulatory Changes for Cryptocurrency Mining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2023, the Rules for Licensing of Digital Mining Activities (the “Rules”) became effective in Kazakhstan, requesting that persons engaged in the mining of cryptocurrencies must first obtain a specialized license. Subsequently, the Company decided to temporarily shut down approximately 2.0 Exahash/s of its mining computing power in Kazakhstan to ensure legal compliance, and has been working actively to obtain a Type II license for mining hardware owners since early July.</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However, the Company must wait for one of its local partners to obtain its Type I license for mining infrastructure possessors before the Company can complete its license application. This local partner has applied for a license, but its application remains pending. The Company anticipates a continued suspension of its mining operations in Kazakhstan into the third quarter of 2023, resulting in an expected reduction in bitcoin generation.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local mining partners are actively pursuing the necessary licenses, while exploring avenues to sustain its collaboration with local miners by adjusting the present cooperation arrangements to align with the local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 Relating to Joint Mining Activities in the U.S.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3, 2023, Canaan U.S. Inc., an operating subsidiary of the Company ("Canaan US"), participated in a mediation with a partner that provides hosting and management services for cryptocurrency mining machines, after the partner breached the parties' Joint Mining Agreement (the "Agreement") at a U.S.-based mining farm. Per the Agreement, mediation was mandatory before the parties can proceed to arbitration. Canaan US seeks to recover for, among other things: (i) the partner's failure to install 13,000 of Canaan US's cryptocurrency mining machines, of which we have also discovered that a small number were returned damaged; (ii) the partner's failure to refund Canaan US's $1.25 million deposit; (iii) the partner's failure to cause the continued operation of another 13,000 cryptocurrency mining machines that were installed, which have yet to be returned; (iv) the partner's failure to pay Canaan US a substantial amount of the bitcoin profits; (v) the partner, in violation of the agreement, attempted to impose substantial off-contractual operating fees on Canaan US; and (vi) the partner's failure to cause the selection of a mining pool provider satisfactory to Canaan US and to seek Canaan US's consent as to the selection of the mining pool provider. Because no settlement was reached at the mediation, Canaan US intends to file an arbitration demand and proceed to arbitrate the parties’ dispute.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At-the-Market (“ATM”) Offering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8, 2022, the Company entered into an at-the-market offering agreement (the “ATM Agreement”), providing for a potential at-the-market (“ATM”) equity offering program, with H.C. Wainwright &amp; Co., LLC (“HCW”).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From May 26, 2023, the date the Company reported its financial results for the first quarter of 2023, to August 29, 2023, the Company did not utilize the ATM for fundraising.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the ATM program to be a flexible mechanism for the Company to access public capital markets in the future. The timing and extent of the use of the ATM program will be at the discretion of the Company, provided that the Company has satisfied certain obligations set forth in the ATM agreements and the ATM facility is duly established.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third quarter of 2023, the Company expects total revenues to be approximately US$30 million, considering the challenging market conditions across the industry. This forecast reflects the Company’s current and preliminary views on the market and operational conditions, which are subject to 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team will hold a conference call at 8:00 A.M. U.S. Eastern Time on August 29, 2023 (or 8:00 P.M. Singapore Time on the same day) to discuss the financial results. Details for the conference call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Event Title:</w:t>
            </w:r>
          </w:p>
        </w:tc>
        <w:tc>
          <w:tcPr>
            <w:tcW w:w="5480" w:type="dxa"/>
            <w:vAlign w:val="bottom"/>
          </w:tcPr>
          <w:p>
            <w:pPr>
              <w:spacing w:after="0"/>
              <w:rPr>
                <w:sz w:val="20"/>
                <w:szCs w:val="20"/>
                <w:color w:val="auto"/>
              </w:rPr>
            </w:pPr>
            <w:r>
              <w:rPr>
                <w:rFonts w:ascii="Arial" w:cs="Arial" w:eastAsia="Arial" w:hAnsi="Arial"/>
                <w:sz w:val="18"/>
                <w:szCs w:val="18"/>
                <w:color w:val="auto"/>
              </w:rPr>
              <w:t>Canaan Inc. Second Quarter 2023 Earnings Conference Call</w:t>
            </w:r>
          </w:p>
        </w:tc>
      </w:tr>
      <w:tr>
        <w:trPr>
          <w:trHeight w:val="190"/>
        </w:trPr>
        <w:tc>
          <w:tcPr>
            <w:tcW w:w="1700" w:type="dxa"/>
            <w:vAlign w:val="bottom"/>
          </w:tcPr>
          <w:p>
            <w:pPr>
              <w:spacing w:after="0" w:line="190" w:lineRule="exact"/>
              <w:rPr>
                <w:sz w:val="20"/>
                <w:szCs w:val="20"/>
                <w:color w:val="auto"/>
              </w:rPr>
            </w:pPr>
            <w:r>
              <w:rPr>
                <w:rFonts w:ascii="Arial" w:cs="Arial" w:eastAsia="Arial" w:hAnsi="Arial"/>
                <w:sz w:val="18"/>
                <w:szCs w:val="18"/>
                <w:color w:val="auto"/>
              </w:rPr>
              <w:t>Registration Link:</w:t>
            </w:r>
          </w:p>
        </w:tc>
        <w:tc>
          <w:tcPr>
            <w:tcW w:w="54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https://register.vevent.com/register/BI5f3485f660e14d70a2886332ea9eba6a</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participants must use the link provided above to complete the online registration process in advance of the conference call. Upon registering, each participant will receive a set of participant dial-in numbers and a unique access PIN, which can be used to join the conference call.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 live and archived webcast of the conference call will be available at the Company’s investor relations website at investor.canaan-creative.com.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Canaan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Established in 2013, Canaan Inc. (NASDAQ: CAN), is a technology company focusing on ASIC high-performance computing chip design, chip research and development, computing equipment production, and software services. Canaan’s vision is “super computing is what we do, social enrichment is why we do it.” Canaan has extensive experience in chip design and streamlined production in the ASIC field. In 2013, under the leadership of Mr. Nangeng Zhang, founder and CEO, Canaan’s founding team shipped to its customers the world’s first batch of mining machines incorporating ASIC technology in bitcoin's history under the brand name, Avalon. In 2018, Canaan released the world’s first RISC-V architecture commercial edge AI chip. In 2019, Canaan completed its initial public offering on the Nasdaq Global Market. To learn more about Canaan, please visit </w:t>
      </w:r>
      <w:r>
        <w:rPr>
          <w:rFonts w:ascii="Arial" w:cs="Arial" w:eastAsia="Arial" w:hAnsi="Arial"/>
          <w:sz w:val="16"/>
          <w:szCs w:val="16"/>
          <w:u w:val="single" w:color="auto"/>
          <w:color w:val="auto"/>
        </w:rPr>
        <w:t>https://www.canaan.io/</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in China;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evaluating Canaan’s business, the Company uses non-GAAP measures, such as adjusted income (loss) from operations and adjusted net income (loss), as supplemental measures to review and assess its operating performance. The Company defines adjusted income (loss) from operations as income (loss) from operations excluding share-based compensation expenses and change in fair value of warrant liability, and adjusted net income (loss) as net income (loss) excluding share-based compensation expenses and change in fair value of warrant liability. The Company believes that the non-GAAP financial measures provide useful information about the Company’s results of operations, enhance the overall understanding of the Company’s past performance and future prospects and allow for greater visibility with respect to key metrics used by the Company’s management in its financial and operational decision-making.</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non-GAAP financial measures are not defined under U.S. GAAP and are not presented in accordance with U.S. GAAP. The non-GAAP financial measures have limitations as analytical tools and investors should not consider them in isolation, or as a substitute for net income, cash flows provided by operating activities or other consolidated statements of operations and cash flows data prepared in accordance with U.S. GAAP. One of the key limitations of using adjusted net income is that it does not reflect all of the items of income and expense that affect the Company’s operations. Share-based compensation and change in fair value of warrant liability have been and may continue to be incurred in Canaan’s business and are not reflected in the presentation of adjusted net income. Further, the non-GAAP financial measures may differ from the non-GAAP information used by other companies, including peer companies, and therefore their comparability may be limited. The Company mitigates these limitations by reconciling the non-GAAP financial measures to the most comparable U.S. GAAP performance measures, all of which should be considered when evaluating the Company’s performance.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Canaan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Xi Zhang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IR@canaan-creative.com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Robin Yang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(347) 396-3281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canaan.ir@icrinc.com</w:t>
      </w:r>
    </w:p>
    <w:p>
      <w:pPr>
        <w:spacing w:after="0" w:line="200" w:lineRule="exact"/>
        <w:rPr>
          <w:sz w:val="20"/>
          <w:szCs w:val="20"/>
          <w:color w:val="auto"/>
        </w:rPr>
      </w:pPr>
    </w:p>
    <w:p>
      <w:pPr>
        <w:spacing w:after="0" w:line="22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CANAAN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and per share data, or as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As of December 31,</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USD</w:t>
            </w:r>
          </w:p>
        </w:tc>
        <w:tc>
          <w:tcPr>
            <w:tcW w:w="200" w:type="dxa"/>
            <w:vAlign w:val="bottom"/>
          </w:tcPr>
          <w:p>
            <w:pPr>
              <w:spacing w:after="0"/>
              <w:rPr>
                <w:sz w:val="18"/>
                <w:szCs w:val="18"/>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101,551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66,138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211,640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272,139</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242,523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83,448</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555,714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Cryptocurrency</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12,531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Property, equipment and software</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85,350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50,485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21,740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19,959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Non-current financial investment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2,872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129,247</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684,961</w:t>
            </w:r>
          </w:p>
        </w:tc>
        <w:tc>
          <w:tcPr>
            <w:tcW w:w="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538,449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Contract liabilities</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662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48,349</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69,008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current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75,256</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Lease liabilities, non-current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1,441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63"/>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77,295</w:t>
            </w:r>
          </w:p>
        </w:tc>
        <w:tc>
          <w:tcPr>
            <w:tcW w:w="20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112,310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color w:val="auto"/>
                <w:w w:val="96"/>
              </w:rPr>
              <w:t>Ordinary shares (US$0.00000005 par value; 1,000,000,000,000 shares authorized, 2,804,138,492 and</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w w:val="89"/>
              </w:rPr>
              <w:t>2,827,121,777 shares issued, 2,496,001,757 and 2,550,564,197 shares outstanding as of December 31, 2022</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and June 30, 2023, respectively)</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Treasury stocks (US$0.00000005 par value; 308,136,735 shares as of December 31, 2022 and 276,557,580</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shares as of June 30, 2023, respectively)</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(57,055)</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(57,055)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492,220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520,088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14,892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(36,913)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(51,273)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194,522</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607,666</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426,139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684,961</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80"/>
              <w:spacing w:after="0"/>
              <w:rPr>
                <w:sz w:val="20"/>
                <w:szCs w:val="20"/>
                <w:color w:val="auto"/>
              </w:rPr>
            </w:pPr>
            <w:r>
              <w:rPr>
                <w:rFonts w:ascii="Arial" w:cs="Arial" w:eastAsia="Arial" w:hAnsi="Arial"/>
                <w:sz w:val="18"/>
                <w:szCs w:val="18"/>
                <w:color w:val="auto"/>
              </w:rPr>
              <w:t>9</w:t>
            </w: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90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CANAAN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of USD, except share and per share data, or as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60" w:type="dxa"/>
            <w:vAlign w:val="bottom"/>
            <w:gridSpan w:val="6"/>
          </w:tcPr>
          <w:p>
            <w:pPr>
              <w:jc w:val="center"/>
              <w:ind w:right="21"/>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80" w:type="dxa"/>
            <w:vAlign w:val="bottom"/>
            <w:tcBorders>
              <w:top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w w:val="97"/>
              </w:rPr>
              <w:t>June 30, 2022</w:t>
            </w:r>
          </w:p>
        </w:tc>
        <w:tc>
          <w:tcPr>
            <w:tcW w:w="1440" w:type="dxa"/>
            <w:vAlign w:val="bottom"/>
            <w:tcBorders>
              <w:top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92"/>
              </w:rPr>
              <w:t>March 31, 2023</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June 30, 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USD</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USD</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Products revenue</w:t>
            </w:r>
          </w:p>
        </w:tc>
        <w:tc>
          <w:tcPr>
            <w:tcW w:w="3160" w:type="dxa"/>
            <w:vAlign w:val="bottom"/>
            <w:gridSpan w:val="3"/>
          </w:tcPr>
          <w:p>
            <w:pPr>
              <w:jc w:val="right"/>
              <w:ind w:right="141"/>
              <w:spacing w:after="0"/>
              <w:rPr>
                <w:sz w:val="20"/>
                <w:szCs w:val="20"/>
                <w:color w:val="auto"/>
              </w:rPr>
            </w:pPr>
            <w:r>
              <w:rPr>
                <w:rFonts w:ascii="Arial" w:cs="Arial" w:eastAsia="Arial" w:hAnsi="Arial"/>
                <w:sz w:val="18"/>
                <w:szCs w:val="18"/>
                <w:color w:val="auto"/>
              </w:rPr>
              <w:t>238,122</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44,114</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57,940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Mining revenue</w:t>
            </w:r>
          </w:p>
        </w:tc>
        <w:tc>
          <w:tcPr>
            <w:tcW w:w="3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7,751</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11,089</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15,896</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Other revenues</w:t>
            </w:r>
          </w:p>
        </w:tc>
        <w:tc>
          <w:tcPr>
            <w:tcW w:w="3160" w:type="dxa"/>
            <w:vAlign w:val="bottom"/>
            <w:gridSpan w:val="3"/>
          </w:tcPr>
          <w:p>
            <w:pPr>
              <w:jc w:val="right"/>
              <w:ind w:right="141"/>
              <w:spacing w:after="0"/>
              <w:rPr>
                <w:sz w:val="20"/>
                <w:szCs w:val="20"/>
                <w:color w:val="auto"/>
              </w:rPr>
            </w:pPr>
            <w:r>
              <w:rPr>
                <w:rFonts w:ascii="Arial" w:cs="Arial" w:eastAsia="Arial" w:hAnsi="Arial"/>
                <w:sz w:val="18"/>
                <w:szCs w:val="18"/>
                <w:color w:val="auto"/>
              </w:rPr>
              <w:t>22</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29</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6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55,232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3160" w:type="dxa"/>
            <w:vAlign w:val="bottom"/>
            <w:gridSpan w:val="3"/>
          </w:tcPr>
          <w:p>
            <w:pPr>
              <w:jc w:val="right"/>
              <w:ind w:right="81"/>
              <w:spacing w:after="0"/>
              <w:rPr>
                <w:sz w:val="20"/>
                <w:szCs w:val="20"/>
                <w:color w:val="auto"/>
              </w:rPr>
            </w:pPr>
            <w:r>
              <w:rPr>
                <w:rFonts w:ascii="Arial" w:cs="Arial" w:eastAsia="Arial" w:hAnsi="Arial"/>
                <w:sz w:val="18"/>
                <w:szCs w:val="18"/>
                <w:color w:val="auto"/>
              </w:rPr>
              <w:t>(107,564)</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(102,778)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(143,928)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3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138,331</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(47,546)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(70,075)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1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(15,577)</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(19,058)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160" w:type="dxa"/>
            <w:vAlign w:val="bottom"/>
            <w:gridSpan w:val="3"/>
          </w:tcPr>
          <w:p>
            <w:pPr>
              <w:jc w:val="right"/>
              <w:ind w:right="81"/>
              <w:spacing w:after="0"/>
              <w:rPr>
                <w:sz w:val="20"/>
                <w:szCs w:val="20"/>
                <w:color w:val="auto"/>
              </w:rPr>
            </w:pPr>
            <w:r>
              <w:rPr>
                <w:rFonts w:ascii="Arial" w:cs="Arial" w:eastAsia="Arial" w:hAnsi="Arial"/>
                <w:sz w:val="18"/>
                <w:szCs w:val="18"/>
                <w:color w:val="auto"/>
              </w:rPr>
              <w:t>(3,174)</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(1,485)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1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(22,133)</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(17,577)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Impairment on cryptocurrency</w:t>
            </w:r>
          </w:p>
        </w:tc>
        <w:tc>
          <w:tcPr>
            <w:tcW w:w="3160" w:type="dxa"/>
            <w:vAlign w:val="bottom"/>
            <w:gridSpan w:val="3"/>
          </w:tcPr>
          <w:p>
            <w:pPr>
              <w:jc w:val="right"/>
              <w:ind w:right="81"/>
              <w:spacing w:after="0"/>
              <w:rPr>
                <w:sz w:val="20"/>
                <w:szCs w:val="20"/>
                <w:color w:val="auto"/>
              </w:rPr>
            </w:pPr>
            <w:r>
              <w:rPr>
                <w:rFonts w:ascii="Arial" w:cs="Arial" w:eastAsia="Arial" w:hAnsi="Arial"/>
                <w:sz w:val="18"/>
                <w:szCs w:val="18"/>
                <w:color w:val="auto"/>
              </w:rPr>
              <w:t>(4,467)</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16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92,980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(85,666)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309</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440</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160" w:type="dxa"/>
            <w:vAlign w:val="bottom"/>
            <w:gridSpan w:val="3"/>
          </w:tcPr>
          <w:p>
            <w:pPr>
              <w:jc w:val="right"/>
              <w:ind w:right="141"/>
              <w:spacing w:after="0"/>
              <w:rPr>
                <w:sz w:val="20"/>
                <w:szCs w:val="20"/>
                <w:color w:val="auto"/>
              </w:rPr>
            </w:pPr>
            <w:r>
              <w:rPr>
                <w:rFonts w:ascii="Arial" w:cs="Arial" w:eastAsia="Arial" w:hAnsi="Arial"/>
                <w:sz w:val="18"/>
                <w:szCs w:val="18"/>
                <w:color w:val="auto"/>
              </w:rPr>
              <w:t>3,861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gains (losses), net</w:t>
            </w:r>
          </w:p>
        </w:tc>
        <w:tc>
          <w:tcPr>
            <w:tcW w:w="3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17,001</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(2,559)</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Other income, net</w:t>
            </w:r>
          </w:p>
        </w:tc>
        <w:tc>
          <w:tcPr>
            <w:tcW w:w="3160" w:type="dxa"/>
            <w:vAlign w:val="bottom"/>
            <w:gridSpan w:val="3"/>
          </w:tcPr>
          <w:p>
            <w:pPr>
              <w:jc w:val="right"/>
              <w:ind w:right="141"/>
              <w:spacing w:after="0"/>
              <w:rPr>
                <w:sz w:val="20"/>
                <w:szCs w:val="20"/>
                <w:color w:val="auto"/>
              </w:rPr>
            </w:pPr>
            <w:r>
              <w:rPr>
                <w:rFonts w:ascii="Arial" w:cs="Arial" w:eastAsia="Arial" w:hAnsi="Arial"/>
                <w:sz w:val="18"/>
                <w:szCs w:val="18"/>
                <w:color w:val="auto"/>
              </w:rPr>
              <w:t>889</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1,078</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 expenses</w:t>
            </w:r>
          </w:p>
        </w:tc>
        <w:tc>
          <w:tcPr>
            <w:tcW w:w="16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115,040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(86,707)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160" w:type="dxa"/>
            <w:vAlign w:val="bottom"/>
            <w:gridSpan w:val="3"/>
          </w:tcPr>
          <w:p>
            <w:pPr>
              <w:jc w:val="right"/>
              <w:ind w:right="81"/>
              <w:spacing w:after="0"/>
              <w:rPr>
                <w:sz w:val="20"/>
                <w:szCs w:val="20"/>
                <w:color w:val="auto"/>
              </w:rPr>
            </w:pPr>
            <w:r>
              <w:rPr>
                <w:rFonts w:ascii="Arial" w:cs="Arial" w:eastAsia="Arial" w:hAnsi="Arial"/>
                <w:sz w:val="18"/>
                <w:szCs w:val="18"/>
                <w:color w:val="auto"/>
              </w:rPr>
              <w:t>(24,948)</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2,341</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(110,669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Foreign currency translation adjustment, net of nil tax</w:t>
            </w:r>
          </w:p>
        </w:tc>
        <w:tc>
          <w:tcPr>
            <w:tcW w:w="168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CCEEFF"/>
            </w:tcBorders>
            <w:vMerge w:val="continue"/>
          </w:tcPr>
          <w:p>
            <w:pPr>
              <w:spacing w:after="0"/>
              <w:rPr>
                <w:sz w:val="17"/>
                <w:szCs w:val="17"/>
                <w:color w:val="auto"/>
              </w:rPr>
            </w:pPr>
          </w:p>
        </w:tc>
        <w:tc>
          <w:tcPr>
            <w:tcW w:w="168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(25,610</w:t>
            </w:r>
          </w:p>
        </w:tc>
        <w:tc>
          <w:tcPr>
            <w:tcW w:w="22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9,158</w:t>
            </w:r>
          </w:p>
        </w:tc>
        <w:tc>
          <w:tcPr>
            <w:tcW w:w="22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(23,518</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6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64,482</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w w:val="92"/>
              </w:rPr>
              <w:t>Weighted average number of shares used in per share calculation:</w:t>
            </w:r>
          </w:p>
        </w:tc>
        <w:tc>
          <w:tcPr>
            <w:tcW w:w="1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3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2,584,644,729</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2,502,558,388</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2,547,999,846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 Diluted</w:t>
            </w:r>
          </w:p>
        </w:tc>
        <w:tc>
          <w:tcPr>
            <w:tcW w:w="3160" w:type="dxa"/>
            <w:vAlign w:val="bottom"/>
            <w:gridSpan w:val="3"/>
          </w:tcPr>
          <w:p>
            <w:pPr>
              <w:jc w:val="right"/>
              <w:ind w:right="141"/>
              <w:spacing w:after="0"/>
              <w:rPr>
                <w:sz w:val="20"/>
                <w:szCs w:val="20"/>
                <w:color w:val="auto"/>
              </w:rPr>
            </w:pPr>
            <w:r>
              <w:rPr>
                <w:rFonts w:ascii="Arial" w:cs="Arial" w:eastAsia="Arial" w:hAnsi="Arial"/>
                <w:sz w:val="18"/>
                <w:szCs w:val="18"/>
                <w:color w:val="auto"/>
              </w:rPr>
              <w:t>2,585,684,866</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2,502,558,388</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2,547,999,846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(loss) per share (cent per share)</w:t>
            </w:r>
          </w:p>
        </w:tc>
        <w:tc>
          <w:tcPr>
            <w:tcW w:w="1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 Basic</w:t>
            </w:r>
          </w:p>
        </w:tc>
        <w:tc>
          <w:tcPr>
            <w:tcW w:w="3160" w:type="dxa"/>
            <w:vAlign w:val="bottom"/>
            <w:gridSpan w:val="3"/>
          </w:tcPr>
          <w:p>
            <w:pPr>
              <w:jc w:val="right"/>
              <w:ind w:right="141"/>
              <w:spacing w:after="0"/>
              <w:rPr>
                <w:sz w:val="20"/>
                <w:szCs w:val="20"/>
                <w:color w:val="auto"/>
              </w:rPr>
            </w:pPr>
            <w:r>
              <w:rPr>
                <w:rFonts w:ascii="Arial" w:cs="Arial" w:eastAsia="Arial" w:hAnsi="Arial"/>
                <w:sz w:val="18"/>
                <w:szCs w:val="18"/>
                <w:color w:val="auto"/>
              </w:rPr>
              <w:t>3.49</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(3.37)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3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3.48</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Share-based compensation expenses were included in:</w:t>
            </w:r>
          </w:p>
        </w:tc>
        <w:tc>
          <w:tcPr>
            <w:tcW w:w="1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16</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160" w:type="dxa"/>
            <w:vAlign w:val="bottom"/>
            <w:gridSpan w:val="3"/>
          </w:tcPr>
          <w:p>
            <w:pPr>
              <w:jc w:val="right"/>
              <w:ind w:right="141"/>
              <w:spacing w:after="0"/>
              <w:rPr>
                <w:sz w:val="20"/>
                <w:szCs w:val="20"/>
                <w:color w:val="auto"/>
              </w:rPr>
            </w:pPr>
            <w:r>
              <w:rPr>
                <w:rFonts w:ascii="Arial" w:cs="Arial" w:eastAsia="Arial" w:hAnsi="Arial"/>
                <w:sz w:val="18"/>
                <w:szCs w:val="18"/>
                <w:color w:val="auto"/>
              </w:rPr>
              <w:t>2,715</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2,324</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1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684</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(164)</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160" w:type="dxa"/>
            <w:vAlign w:val="bottom"/>
            <w:gridSpan w:val="3"/>
          </w:tcPr>
          <w:p>
            <w:pPr>
              <w:jc w:val="right"/>
              <w:ind w:right="141"/>
              <w:spacing w:after="0"/>
              <w:rPr>
                <w:sz w:val="20"/>
                <w:szCs w:val="20"/>
                <w:color w:val="auto"/>
              </w:rPr>
            </w:pPr>
            <w:r>
              <w:rPr>
                <w:rFonts w:ascii="Arial" w:cs="Arial" w:eastAsia="Arial" w:hAnsi="Arial"/>
                <w:sz w:val="18"/>
                <w:szCs w:val="18"/>
                <w:color w:val="auto"/>
              </w:rPr>
              <w:t>12,742</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10,387</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634"/>
        </w:trPr>
        <w:tc>
          <w:tcPr>
            <w:tcW w:w="5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table below sets forth a reconciliation of net income (loss) to non-GAAP adjusted net income (loss) for the period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260" w:type="dxa"/>
            <w:vAlign w:val="bottom"/>
            <w:gridSpan w:val="6"/>
          </w:tcPr>
          <w:p>
            <w:pPr>
              <w:jc w:val="center"/>
              <w:ind w:right="21"/>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23"/>
        </w:trPr>
        <w:tc>
          <w:tcPr>
            <w:tcW w:w="42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7"/>
              </w:rPr>
              <w:t>June 30, 2022</w:t>
            </w:r>
          </w:p>
        </w:tc>
        <w:tc>
          <w:tcPr>
            <w:tcW w:w="1440" w:type="dxa"/>
            <w:vAlign w:val="bottom"/>
            <w:tcBorders>
              <w:top w:val="single" w:sz="8" w:color="auto"/>
            </w:tcBorders>
            <w:gridSpan w:val="2"/>
          </w:tcPr>
          <w:p>
            <w:pPr>
              <w:jc w:val="center"/>
              <w:ind w:right="141"/>
              <w:spacing w:after="0"/>
              <w:rPr>
                <w:sz w:val="20"/>
                <w:szCs w:val="20"/>
                <w:color w:val="auto"/>
              </w:rPr>
            </w:pPr>
            <w:r>
              <w:rPr>
                <w:rFonts w:ascii="Arial" w:cs="Arial" w:eastAsia="Arial" w:hAnsi="Arial"/>
                <w:sz w:val="18"/>
                <w:szCs w:val="18"/>
                <w:b w:val="1"/>
                <w:bCs w:val="1"/>
                <w:color w:val="auto"/>
                <w:w w:val="92"/>
              </w:rPr>
              <w:t>March 31, 2023</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June 30, 2023</w:t>
            </w:r>
          </w:p>
        </w:tc>
        <w:tc>
          <w:tcPr>
            <w:tcW w:w="100" w:type="dxa"/>
            <w:vAlign w:val="bottom"/>
          </w:tcPr>
          <w:p>
            <w:pPr>
              <w:spacing w:after="0"/>
              <w:rPr>
                <w:sz w:val="19"/>
                <w:szCs w:val="19"/>
                <w:color w:val="auto"/>
              </w:rPr>
            </w:pPr>
          </w:p>
        </w:tc>
      </w:tr>
      <w:tr>
        <w:trPr>
          <w:trHeight w:val="210"/>
        </w:trPr>
        <w:tc>
          <w:tcPr>
            <w:tcW w:w="4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USD</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USD</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90,092</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(84,366)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(110,669)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4260" w:type="dxa"/>
            <w:vAlign w:val="bottom"/>
            <w:gridSpan w:val="3"/>
          </w:tcPr>
          <w:p>
            <w:pPr>
              <w:jc w:val="right"/>
              <w:ind w:right="220"/>
              <w:spacing w:after="0"/>
              <w:rPr>
                <w:sz w:val="20"/>
                <w:szCs w:val="20"/>
                <w:color w:val="auto"/>
              </w:rPr>
            </w:pPr>
            <w:r>
              <w:rPr>
                <w:rFonts w:ascii="Arial" w:cs="Arial" w:eastAsia="Arial" w:hAnsi="Arial"/>
                <w:sz w:val="18"/>
                <w:szCs w:val="18"/>
                <w:color w:val="auto"/>
              </w:rPr>
              <w:t>16,157</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12,613</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11,068</w:t>
            </w:r>
          </w:p>
        </w:tc>
      </w:tr>
      <w:tr>
        <w:trPr>
          <w:trHeight w:val="22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4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(3,861)</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Non-GAAP adjusted net income (loss)</w:t>
            </w:r>
          </w:p>
        </w:tc>
        <w:tc>
          <w:tcPr>
            <w:tcW w:w="27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102,388</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(71,753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642"/>
        </w:trPr>
        <w:tc>
          <w:tcPr>
            <w:tcW w:w="4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2023-08-29T05:25:52Z</dcterms:created>
  <dcterms:modified xsi:type="dcterms:W3CDTF">2023-08-29T05:25:52Z</dcterms:modified>
</cp:coreProperties>
</file>