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4486-1_posam.htm"/>
        <w:bookmarkStart w:id="1" w:name="kstm26144861_posam"/>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304800</wp:posOffset>
                </wp:positionH>
                <wp:positionV relativeFrom="page">
                  <wp:posOffset>9383395</wp:posOffset>
                </wp:positionV>
                <wp:extent cx="7560310" cy="701040"/>
                <wp:effectExtent l="0" t="0" r="0" b="0"/>
                <wp:wrapNone/>
                <wp:docPr id="1" name="Frame2"/>
                <a:graphic xmlns:a="http://schemas.openxmlformats.org/drawingml/2006/main">
                  <a:graphicData uri="http://schemas.microsoft.com/office/word/2010/wordprocessingShape">
                    <wps:wsp>
                      <wps:cNvSpPr txBox="1"/>
                      <wps:spPr>
                        <a:xfrm>
                          <a:off x="0" y="0"/>
                          <a:ext cx="7560310" cy="70104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rPr>
                            </w:pPr>
                            <w:r>
                              <w:rPr>
                                <w:rFonts w:ascii="Helvetica;Arial;sans-serif" w:hAnsi="Helvetica;Arial;sans-serif"/>
                                <w:b/>
                                <w:color w:val="FC0014"/>
                                <w:spacing w:val="-2"/>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rPr>
                              <w:t xml:space="preserve"> </w:t>
                            </w:r>
                          </w:p>
                        </w:txbxContent>
                      </wps:txbx>
                      <wps:bodyPr anchor="t" lIns="0" tIns="0" rIns="0" bIns="0">
                        <a:noAutofit/>
                      </wps:bodyPr>
                    </wps:wsp>
                  </a:graphicData>
                </a:graphic>
              </wp:anchor>
            </w:drawing>
          </mc:Choice>
          <mc:Fallback>
            <w:pict>
              <v:rect style="position:absolute;rotation:-0;width:595.3pt;height:55.2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rPr>
                      </w:pPr>
                      <w:r>
                        <w:rPr>
                          <w:rFonts w:ascii="Helvetica;Arial;sans-serif" w:hAnsi="Helvetica;Arial;sans-serif"/>
                          <w:b/>
                          <w:color w:val="FC0014"/>
                          <w:spacing w:val="-2"/>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rPr>
                        <w:t xml:space="preserve"> </w:t>
                      </w:r>
                    </w:p>
                  </w:txbxContent>
                </v:textbox>
                <w10:wrap type="none"/>
              </v:rect>
            </w:pict>
          </mc:Fallback>
        </mc:AlternateContent>
      </w:r>
    </w:p>
    <w:p>
      <w:pPr>
        <w:pStyle w:val="TextBody"/>
        <w:bidi w:val="0"/>
        <w:spacing w:lineRule="atLeast" w:line="19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May 22,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7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333-285125</w:t>
      </w:r>
      <w:r>
        <w:rPr>
          <w:rFonts w:ascii="Times New Roman;Times;serif" w:hAnsi="Times New Roman;Times;serif"/>
          <w:b/>
          <w:i w:val="false"/>
          <w:caps w:val="false"/>
          <w:smallCaps w:val="false"/>
          <w:color w:val="000000"/>
          <w:sz w:val="18"/>
        </w:rPr>
        <w:t>​</w:t>
      </w:r>
    </w:p>
    <w:p>
      <w:pPr>
        <w:pStyle w:val="TextBody"/>
        <w:bidi w:val="0"/>
        <w:spacing w:before="8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78"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90" w:before="1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7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Post-Effective Amendment No. 4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to</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330" w:before="7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F-3</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80" w:before="70" w:after="283"/>
        <w:jc w:val="center"/>
        <w:rPr>
          <w:rFonts w:ascii="Times New Roman;Times;serif" w:hAnsi="Times New Roman;Times;serif"/>
          <w:b/>
          <w:i/>
          <w:caps w:val="false"/>
          <w:smallCaps w:val="false"/>
          <w:color w:val="000000"/>
          <w:sz w:val="18"/>
        </w:rPr>
      </w:pPr>
      <w:r>
        <w:rPr>
          <w:rFonts w:ascii="Times New Roman;Times;serif" w:hAnsi="Times New Roman;Times;serif"/>
          <w:b/>
          <w:i w:val="false"/>
          <w:caps w:val="false"/>
          <w:smallCaps w:val="false"/>
          <w:color w:val="000000"/>
          <w:spacing w:val="-4"/>
          <w:sz w:val="18"/>
        </w:rPr>
        <w:t>REGISTRATION STATEMENT</w:t>
      </w:r>
      <w:r>
        <w:rPr>
          <w:rFonts w:ascii="Times New Roman;Times;serif" w:hAnsi="Times New Roman;Times;serif"/>
          <w:b/>
          <w:i/>
          <w:caps w:val="false"/>
          <w:smallCaps w:val="false"/>
          <w:color w:val="000000"/>
          <w:spacing w:val="-4"/>
          <w:sz w:val="18"/>
        </w:rPr>
        <w:t xml:space="preserve"> </w:t>
      </w:r>
      <w:r>
        <w:rPr>
          <w:rFonts w:ascii="Times New Roman;Times;serif" w:hAnsi="Times New Roman;Times;serif"/>
          <w:b/>
          <w:i/>
          <w:caps w:val="false"/>
          <w:smallCaps w:val="false"/>
          <w:color w:val="000000"/>
          <w:sz w:val="18"/>
        </w:rPr>
        <w:br/>
      </w:r>
      <w:r>
        <w:rPr>
          <w:rFonts w:ascii="Times New Roman;Times;serif" w:hAnsi="Times New Roman;Times;serif"/>
          <w:b/>
          <w:i/>
          <w:caps w:val="false"/>
          <w:smallCaps w:val="false"/>
          <w:color w:val="000000"/>
          <w:spacing w:val="-4"/>
          <w:sz w:val="18"/>
        </w:rPr>
        <w:t>UNDER</w:t>
      </w:r>
      <w:r>
        <w:rPr>
          <w:rFonts w:ascii="Times New Roman;Times;serif" w:hAnsi="Times New Roman;Times;serif"/>
          <w:b/>
          <w:i/>
          <w:caps w:val="false"/>
          <w:smallCaps w:val="false"/>
          <w:color w:val="000000"/>
          <w:sz w:val="18"/>
        </w:rPr>
        <w:t xml:space="preserve"> </w:t>
        <w:br/>
      </w:r>
      <w:r>
        <w:rPr>
          <w:rFonts w:ascii="Times New Roman;Times;serif" w:hAnsi="Times New Roman;Times;serif"/>
          <w:b/>
          <w:i/>
          <w:caps w:val="false"/>
          <w:smallCaps w:val="false"/>
          <w:color w:val="000000"/>
          <w:spacing w:val="-4"/>
          <w:sz w:val="18"/>
        </w:rPr>
        <w:t>THE SECURITIES ACT OF 1933</w:t>
      </w:r>
      <w:r>
        <w:rPr>
          <w:rFonts w:ascii="Times New Roman;Times;serif" w:hAnsi="Times New Roman;Times;serif"/>
          <w:b/>
          <w:i/>
          <w:caps w:val="false"/>
          <w:smallCaps w:val="false"/>
          <w:color w:val="000000"/>
          <w:spacing w:val="4"/>
          <w:sz w:val="18"/>
        </w:rPr>
        <w:t xml:space="preserve"> </w:t>
      </w:r>
    </w:p>
    <w:p>
      <w:pPr>
        <w:pStyle w:val="TextBody"/>
        <w:bidi w:val="0"/>
        <w:spacing w:lineRule="atLeast" w:line="330" w:before="7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Canaan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70" w:before="1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190" w:before="7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Not Applicable</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70" w:before="1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(Translation of Registrant’s name into English)</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tbl>
      <w:tblPr>
        <w:tblW w:w="5937" w:type="dxa"/>
        <w:jc w:val="left"/>
        <w:tblInd w:w="540" w:type="dxa"/>
        <w:tblLayout w:type="fixed"/>
        <w:tblCellMar>
          <w:top w:w="0" w:type="dxa"/>
          <w:left w:w="0" w:type="dxa"/>
          <w:bottom w:w="0" w:type="dxa"/>
          <w:right w:w="0" w:type="dxa"/>
        </w:tblCellMar>
      </w:tblPr>
      <w:tblGrid>
        <w:gridCol w:w="124"/>
        <w:gridCol w:w="3061"/>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61" w:type="dxa"/>
            <w:tcBorders/>
            <w:vAlign w:val="center"/>
          </w:tcPr>
          <w:p>
            <w:pPr>
              <w:pStyle w:val="TableContents"/>
              <w:bidi w:val="0"/>
              <w:spacing w:before="0" w:after="0"/>
              <w:jc w:val="center"/>
              <w:rPr>
                <w:b/>
                <w:sz w:val="18"/>
              </w:rPr>
            </w:pPr>
            <w:r>
              <w:rPr>
                <w:b/>
                <w:spacing w:val="-4"/>
                <w:sz w:val="18"/>
              </w:rPr>
              <w:t>Cayman Islands</w:t>
            </w:r>
            <w:r>
              <w:rPr>
                <w:b/>
                <w:sz w:val="18"/>
              </w:rPr>
              <w:t xml:space="preserve"> </w:t>
            </w:r>
          </w:p>
          <w:p>
            <w:pPr>
              <w:pStyle w:val="TableContents"/>
              <w:bidi w:val="0"/>
              <w:spacing w:lineRule="atLeast" w:line="160" w:before="36" w:after="283"/>
              <w:jc w:val="center"/>
              <w:rPr/>
            </w:pPr>
            <w:r>
              <w:rPr>
                <w:spacing w:val="3"/>
              </w:rPr>
              <w:t xml:space="preserve">(State or other jurisdiction of </w:t>
            </w:r>
            <w:r>
              <w:rPr/>
              <w:br/>
            </w:r>
            <w:r>
              <w:rPr>
                <w:spacing w:val="3"/>
              </w:rPr>
              <w:t xml:space="preserve">incorporation or organization)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Not Applicable</w:t>
            </w:r>
            <w:r>
              <w:rPr>
                <w:b/>
                <w:sz w:val="18"/>
              </w:rPr>
              <w:t xml:space="preserve"> </w:t>
            </w:r>
          </w:p>
          <w:p>
            <w:pPr>
              <w:pStyle w:val="TableContents"/>
              <w:bidi w:val="0"/>
              <w:spacing w:lineRule="atLeast" w:line="180" w:before="36"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224"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28 Ayer Rajah Crescent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#06-08</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Singapore 139959</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70" w:before="14"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(Address and telephone number of Registrant’s principal executive offices) </w:t>
      </w:r>
    </w:p>
    <w:p>
      <w:pPr>
        <w:pStyle w:val="TextBody"/>
        <w:bidi w:val="0"/>
        <w:spacing w:lineRule="atLeast" w:line="190" w:before="7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Cogency Global Inc.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122 East 42nd Street, 18th Floor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New York, New York 10168</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+1-212-947-7200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70" w:before="14"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address, and telephone number of agent for service) </w:t>
      </w:r>
    </w:p>
    <w:p>
      <w:pPr>
        <w:pStyle w:val="TextBody"/>
        <w:bidi w:val="0"/>
        <w:spacing w:lineRule="atLeast" w:line="190" w:before="70"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Copies to:</w:t>
      </w:r>
      <w:r>
        <w:rPr>
          <w:rFonts w:ascii="Times New Roman;Times;serif" w:hAnsi="Times New Roman;Times;serif"/>
          <w:b/>
          <w:i/>
          <w:caps w:val="false"/>
          <w:smallCaps w:val="false"/>
          <w:color w:val="000000"/>
          <w:spacing w:val="4"/>
          <w:sz w:val="18"/>
        </w:rPr>
        <w:t xml:space="preserve"> </w:t>
      </w:r>
    </w:p>
    <w:p>
      <w:pPr>
        <w:pStyle w:val="TextBody"/>
        <w:bidi w:val="0"/>
        <w:spacing w:lineRule="atLeast" w:line="190" w:before="7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Will H. Cai, Esq.</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Cooley LLP</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c/o 35/F Two Exchange Square</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8 Connaught Place</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Central, Hong Kong</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+852 3758-1200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7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proposed sale to the public: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From time to time after the effective date of this registration statement.</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only securities being registered on this Form are being offered pursuant to dividend or interest reinvestment plans, please check the following box. ☐ </w:t>
      </w:r>
    </w:p>
    <w:p>
      <w:pPr>
        <w:pStyle w:val="TextBody"/>
        <w:bidi w:val="0"/>
        <w:spacing w:lineRule="atLeast" w:line="19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lineRule="atLeast" w:line="19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8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9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I.C. or a post-effective amendment thereto that shall become effective upon filing with the Commission pursuant to Rule 462(e) under the Securities Act, check the following box. ☐ </w:t>
      </w:r>
    </w:p>
    <w:p>
      <w:pPr>
        <w:pStyle w:val="TextBody"/>
        <w:bidi w:val="0"/>
        <w:spacing w:lineRule="atLeast" w:line="19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 </w:t>
      </w:r>
    </w:p>
    <w:p>
      <w:pPr>
        <w:pStyle w:val="TextBody"/>
        <w:bidi w:val="0"/>
        <w:spacing w:lineRule="atLeast" w:line="19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an emerging growth company as defined in Rule 405 of the Securities Act of 1933. </w:t>
      </w:r>
    </w:p>
    <w:p>
      <w:pPr>
        <w:pStyle w:val="TextBody"/>
        <w:bidi w:val="0"/>
        <w:spacing w:lineRule="atLeast" w:line="190" w:before="70" w:after="283"/>
        <w:jc w:val="right"/>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Emerging growth company ☐</w:t>
      </w:r>
      <w:r>
        <w:rPr>
          <w:rFonts w:ascii="Times New Roman;Times;serif" w:hAnsi="Times New Roman;Times;serif"/>
          <w:b w:val="false"/>
          <w:i w:val="false"/>
          <w:caps w:val="false"/>
          <w:smallCaps w:val="false"/>
          <w:color w:val="000000"/>
          <w:sz w:val="18"/>
        </w:rPr>
        <w:t>​</w:t>
      </w:r>
    </w:p>
    <w:p>
      <w:pPr>
        <w:pStyle w:val="TextBody"/>
        <w:bidi w:val="0"/>
        <w:spacing w:lineRule="atLeast" w:line="19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90" w:before="70" w:after="283"/>
        <w:ind w:left="540" w:right="0" w:firstLine="400"/>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r>
        <w:rPr>
          <w:rFonts w:ascii="Times New Roman;Times;serif" w:hAnsi="Times New Roman;Times;serif"/>
          <w:b w:val="false"/>
          <w:i w:val="false"/>
          <w:caps w:val="false"/>
          <w:smallCaps w:val="false"/>
          <w:color w:val="000000"/>
          <w:sz w:val="18"/>
        </w:rPr>
        <w:t xml:space="preserve"> </w:t>
      </w:r>
    </w:p>
    <w:p>
      <w:pPr>
        <w:pStyle w:val="TextBody"/>
        <w:bidi w:val="0"/>
        <w:spacing w:before="14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6" w:after="0"/>
        <w:ind w:left="940"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term “new or revised financial accounting standard” refers to any update issued by the Financial Accounting Standards Board to its Accounting Standards Codification after April 5, 2012. </w:t>
      </w:r>
      <w:r>
        <mc:AlternateContent>
          <mc:Choice Requires="wps">
            <w:drawing>
              <wp:anchor behindDoc="0" distT="9906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both"/>
                        <w:rPr/>
                      </w:pPr>
                      <w:r>
                        <w:rPr>
                          <w:spacing w:val="3"/>
                        </w:rPr>
                        <w:t>†</w:t>
                      </w:r>
                      <w:r>
                        <w:rPr/>
                        <w:t xml:space="preserve"> </w:t>
                      </w:r>
                      <w:r>
                        <w:rPr>
                          <w:sz w:val="16"/>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before="11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260" w:right="0" w:hanging="0"/>
        <w:jc w:val="left"/>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PROSPECTUSSUBJECT TO COMPLETION, DATED MAY 22, 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before="198" w:after="283"/>
        <w:jc w:val="center"/>
        <w:rPr>
          <w:caps w:val="false"/>
          <w:smallCaps w:val="false"/>
          <w:color w:val="000000"/>
        </w:rPr>
      </w:pPr>
      <w:r>
        <w:rPr>
          <w:caps w:val="false"/>
          <w:smallCaps w:val="false"/>
          <w:color w:val="000000"/>
        </w:rPr>
        <w:drawing>
          <wp:inline distT="0" distB="0" distL="0" distR="0">
            <wp:extent cx="2133600" cy="7048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133600" cy="704850"/>
                    </a:xfrm>
                    <a:prstGeom prst="rect">
                      <a:avLst/>
                    </a:prstGeom>
                  </pic:spPr>
                </pic:pic>
              </a:graphicData>
            </a:graphic>
          </wp:inline>
        </w:drawing>
      </w:r>
      <w:r>
        <w:rPr>
          <w:caps w:val="false"/>
          <w:smallCaps w:val="false"/>
          <w:color w:val="000000"/>
        </w:rPr>
        <w:t xml:space="preserve"> </w:t>
      </w:r>
    </w:p>
    <w:p>
      <w:pPr>
        <w:pStyle w:val="TextBody"/>
        <w:bidi w:val="0"/>
        <w:spacing w:lineRule="atLeast" w:line="290" w:before="17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$270,000,000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Class A Ordinary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Subscription Rights 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70" w:before="60" w:after="283"/>
        <w:ind w:left="1260" w:right="0" w:firstLine="40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We may from time to time in one or more offerings offer and sell our preferred shares, warrants, subscription rights and/or units, debt securities, or Class A ordinary shares, including Class A ordinary shares represented by American depositary shares, or ADSs, with each ADS representing 15 Class A ordinary shares. </w:t>
      </w:r>
    </w:p>
    <w:p>
      <w:pPr>
        <w:pStyle w:val="TextBody"/>
        <w:bidi w:val="0"/>
        <w:spacing w:lineRule="atLeast" w:line="170" w:before="60" w:after="283"/>
        <w:ind w:left="1260" w:right="0" w:firstLine="40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We will provide specific terms of any offered securities and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 </w:t>
      </w:r>
    </w:p>
    <w:p>
      <w:pPr>
        <w:pStyle w:val="TextBody"/>
        <w:bidi w:val="0"/>
        <w:spacing w:lineRule="atLeast" w:line="180" w:before="60" w:after="283"/>
        <w:ind w:left="1260" w:right="0" w:firstLine="400"/>
        <w:jc w:val="both"/>
        <w:rPr/>
      </w:pPr>
      <w:r>
        <w:rPr>
          <w:rFonts w:ascii="Times New Roman;Times;serif" w:hAnsi="Times New Roman;Times;serif"/>
          <w:b w:val="false"/>
          <w:i w:val="false"/>
          <w:caps w:val="false"/>
          <w:smallCaps w:val="false"/>
          <w:color w:val="000000"/>
          <w:spacing w:val="3"/>
          <w:sz w:val="16"/>
        </w:rPr>
        <w:t xml:space="preserve">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w:t>
      </w:r>
      <w:hyperlink w:anchor="tPOD">
        <w:r>
          <w:rPr>
            <w:rStyle w:val="InternetLink"/>
          </w:rPr>
          <w:t>52</w:t>
        </w:r>
      </w:hyperlink>
      <w:r>
        <w:rPr>
          <w:rFonts w:ascii="Times New Roman;Times;serif" w:hAnsi="Times New Roman;Times;serif"/>
          <w:b w:val="false"/>
          <w:i w:val="false"/>
          <w:caps w:val="false"/>
          <w:smallCaps w:val="false"/>
          <w:color w:val="000000"/>
          <w:spacing w:val="3"/>
          <w:sz w:val="16"/>
        </w:rPr>
        <w:t xml:space="preserve"> of this prospectus. </w:t>
      </w:r>
    </w:p>
    <w:p>
      <w:pPr>
        <w:pStyle w:val="TextBody"/>
        <w:bidi w:val="0"/>
        <w:spacing w:lineRule="atLeast" w:line="180" w:before="60" w:after="283"/>
        <w:ind w:left="1260" w:right="0" w:firstLine="40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ADSs are listed on the NASDAQ Global Market under the symbol “CAN.” On May 20, 2026, the last reported sale price of the ADSs on the NASDAQ Global Market was US$0.44 per ADS. </w:t>
      </w:r>
    </w:p>
    <w:p>
      <w:pPr>
        <w:pStyle w:val="TextBody"/>
        <w:bidi w:val="0"/>
        <w:spacing w:lineRule="atLeast" w:line="180" w:before="60" w:after="283"/>
        <w:ind w:left="1260" w:right="0" w:firstLine="40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of the date of this prospectus, our issued and outstanding share capital consists of Class A ordinary shares and Class B ordinary shares. Holders of Class A ordinary shares and Class B ordinary shares have the same rights except for voting and conversion rights. In respect of matters requiring a shareholder vote, each Class A ordinary share will be entitled to one vote and each Class B ordinary share will be entitled to 15 votes. Each Class B ordinary share is convertible into one class A ordinary share at any time by the holder thereof. Class A ordinary shares are not convertible into Class B ordinary shares under any circumstances. For more information, please see “Description of Share Capital.” </w:t>
      </w:r>
    </w:p>
    <w:p>
      <w:pPr>
        <w:pStyle w:val="TextBody"/>
        <w:bidi w:val="0"/>
        <w:spacing w:lineRule="atLeast" w:line="180" w:before="60" w:after="283"/>
        <w:ind w:left="1260" w:right="0" w:firstLine="400"/>
        <w:jc w:val="both"/>
        <w:rPr/>
      </w:pPr>
      <w:r>
        <w:rPr>
          <w:rFonts w:ascii="Times New Roman;Times;serif" w:hAnsi="Times New Roman;Times;serif"/>
          <w:b w:val="false"/>
          <w:i w:val="false"/>
          <w:caps w:val="false"/>
          <w:smallCaps w:val="false"/>
          <w:color w:val="000000"/>
          <w:spacing w:val="3"/>
          <w:sz w:val="16"/>
        </w:rPr>
        <w:t xml:space="preserve">We are a Cayman Islands holding company and conduct all of our operations through our operating subsidiaries. Investors in the ADSs are not purchasing equity securities of our operating subsidiaries but instead are purchasing equity securities of a Cayman Islands holding company. We face various legal and operational risks and uncertainties associated with being based in or having a portion of our operations in China and the complex and evolving PRC laws and regulations. For example, we face risks associated with regulatory approvals on offerings conducted overseas and foreign investment in China-based issuers, anti-monopoly regulatory actions, regulatory actions for virtual currency-related business activities and mining activities and oversight on cybersecurity and data privacy, which may negatively impact our ability to conduct certain businesses, access foreign investments, or list on foreign stock exchange. These risks could result in a material adverse change in our operations and the value of our ADSs, significantly limit or completely hinder our ability to offer or continue to offer securities to investors, or cause the value of such securities to significantly decline or become worthless. For a detailed description of risks relating to doing business in China, see “Item 3. Key Information — 3.D. Risk Factors — Risks Relating to Doing Business in the PRC.” in our </w:t>
      </w:r>
      <w:hyperlink r:id="rId3">
        <w:r>
          <w:rPr>
            <w:rStyle w:val="InternetLink"/>
          </w:rPr>
          <w:t>annual report on Form 20-F for the year ended December 31, 2025</w:t>
        </w:r>
      </w:hyperlink>
      <w:r>
        <w:rPr>
          <w:rFonts w:ascii="Times New Roman;Times;serif" w:hAnsi="Times New Roman;Times;serif"/>
          <w:b w:val="false"/>
          <w:i w:val="false"/>
          <w:caps w:val="false"/>
          <w:smallCaps w:val="false"/>
          <w:color w:val="000000"/>
          <w:spacing w:val="3"/>
          <w:sz w:val="16"/>
        </w:rPr>
        <w:t xml:space="preserve">, which is incorporated by reference in this prospectus. </w:t>
      </w:r>
    </w:p>
    <w:p>
      <w:pPr>
        <w:pStyle w:val="TextBody"/>
        <w:bidi w:val="0"/>
        <w:spacing w:lineRule="atLeast" w:line="180" w:before="60" w:after="283"/>
        <w:ind w:left="1260" w:right="0" w:firstLine="400"/>
        <w:jc w:val="both"/>
        <w:rPr/>
      </w:pPr>
      <w:r>
        <w:rPr>
          <w:rFonts w:ascii="Times New Roman;Times;serif" w:hAnsi="Times New Roman;Times;serif"/>
          <w:b w:val="false"/>
          <w:i w:val="false"/>
          <w:caps w:val="false"/>
          <w:smallCaps w:val="false"/>
          <w:color w:val="000000"/>
          <w:spacing w:val="3"/>
          <w:sz w:val="16"/>
        </w:rPr>
        <w:t xml:space="preserve">Our auditor, KPMG Huazhen LLP, is the independent registered public accounting firm that issues the audit report incorporated by reference elsewhere in this prospectus, and is located in mainland China. Our securities will be prohibited from trading on a national securities exchange or in the over-the-counter trading market in the United States under the Holding Foreign Companies Accountable Act, or the HFCAA, if the Securities and Exchange Commission determines that Canaan has filed audit reports issued by a registered public accounting firm that has not been subject to inspections by the PCAOB for two consecutive years. On December 16, 2021, the PCAOB issued a report to notify the SEC of its determination that the PCAOB was unable to inspect or investigate completely registered public accounting firms headquartered in mainland China and Hong Kong and our auditor was subject to this determination. Consequently, we were conclusively identified as a “Commission-Identified Issuer” on May 4, 2022. On December 15, 2022, the PCAOB announced that it was able to secure complete access to inspect and investigate PCAOB-registered public accounting firms headquartered in mainland China and Hong Kong in 2022.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its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it is identified as a Commission- Identified Issuer for two consecutive years in the future. If our securities are prohibited from trading in the United States, there is no certainty that we will be able to list on a non-U.S. exchange or that a market for our securities will develop outside of the United States. In the event of such prohibition, the Nasdaq may determine to delist our securities. The delisting of our securities, or the threat of their being delisted, may materially and adversely affect the value of your investment. See “Item 3. Key Information — 3.D. Risk Factors — Risks Relating to Doing Business in the PRC — Our ADSs may be delisted under the Holding Foreign Companies Accountable Act if the PCAOB is unable to inspect auditors who are located in China. The delisting of our ADSs, or the threat of their being delisted, may materially and adversely affect the value of your investment.” in our </w:t>
      </w:r>
      <w:hyperlink r:id="rId4">
        <w:r>
          <w:rPr>
            <w:rStyle w:val="InternetLink"/>
          </w:rPr>
          <w:t>annual report on Form 20-F for the year ended December 31, 2025</w:t>
        </w:r>
      </w:hyperlink>
      <w:r>
        <w:rPr>
          <w:rFonts w:ascii="Times New Roman;Times;serif" w:hAnsi="Times New Roman;Times;serif"/>
          <w:b w:val="false"/>
          <w:i w:val="false"/>
          <w:caps w:val="false"/>
          <w:smallCaps w:val="false"/>
          <w:color w:val="000000"/>
          <w:spacing w:val="3"/>
          <w:sz w:val="16"/>
        </w:rPr>
        <w:t xml:space="preserve">, which is incorporated by reference in this prospectus. </w:t>
      </w:r>
    </w:p>
    <w:p>
      <w:pPr>
        <w:pStyle w:val="TextBody"/>
        <w:bidi w:val="0"/>
        <w:spacing w:lineRule="atLeast" w:line="180" w:before="60" w:after="283"/>
        <w:ind w:left="1260" w:right="0" w:firstLine="400"/>
        <w:jc w:val="both"/>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Investing in these securities involves risks. See the “Risk Factors” section contained in the applicable prospectus supplement and the documents we incorporate by reference in this prospectus to read about factors you should consider before investing in our securities.</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80" w:before="60" w:after="283"/>
        <w:ind w:left="1660"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This prospectus may not be used to offer or sell any securities unless accompanied by a prospectus supplement. </w:t>
      </w:r>
    </w:p>
    <w:p>
      <w:pPr>
        <w:pStyle w:val="TextBody"/>
        <w:bidi w:val="0"/>
        <w:spacing w:lineRule="atLeast" w:line="180" w:before="60" w:after="283"/>
        <w:ind w:left="1260" w:right="0" w:firstLine="400"/>
        <w:jc w:val="both"/>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Neither the Securities and Exchange Commission nor any state securities commission has approved or disapproved of securities or passed upon the accuracy or adequacy of the disclosures in this prospectus, including any prospectus supplement and documents incorporated by reference. Any representation to the contrary is a criminal offense.</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80" w:before="6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The date of this prospectus is           , 2026</w:t>
      </w:r>
      <w:r>
        <w:rPr>
          <w:rFonts w:ascii="Times New Roman;Times;serif" w:hAnsi="Times New Roman;Time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025" w:type="dxa"/>
        <w:jc w:val="left"/>
        <w:tblInd w:w="1393" w:type="dxa"/>
        <w:tblLayout w:type="fixed"/>
        <w:tblCellMar>
          <w:top w:w="0" w:type="dxa"/>
          <w:left w:w="0" w:type="dxa"/>
          <w:bottom w:w="0" w:type="dxa"/>
          <w:right w:w="0" w:type="dxa"/>
        </w:tblCellMar>
      </w:tblPr>
      <w:tblGrid>
        <w:gridCol w:w="124"/>
        <w:gridCol w:w="6792"/>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FOST">
              <w:r>
                <w:rPr>
                  <w:rStyle w:val="InternetLink"/>
                  <w:spacing w:val="4"/>
                </w:rPr>
                <w:t>2</w:t>
              </w:r>
            </w:hyperlink>
            <w:hyperlink w:anchor="t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OUCO">
              <w:r>
                <w:rPr>
                  <w:rStyle w:val="InternetLink"/>
                  <w:spacing w:val="4"/>
                </w:rPr>
                <w:t xml:space="preserve">OUR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OUCO">
              <w:r>
                <w:rPr>
                  <w:rStyle w:val="InternetLink"/>
                  <w:spacing w:val="4"/>
                </w:rPr>
                <w:t>3</w:t>
              </w:r>
            </w:hyperlink>
            <w:hyperlink w:anchor="tOU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COIN">
              <w:r>
                <w:rPr>
                  <w:rStyle w:val="InternetLink"/>
                  <w:spacing w:val="4"/>
                </w:rPr>
                <w:t xml:space="preserve">CORPORATE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OIN">
              <w:r>
                <w:rPr>
                  <w:rStyle w:val="InternetLink"/>
                  <w:spacing w:val="4"/>
                </w:rPr>
                <w:t>4</w:t>
              </w:r>
            </w:hyperlink>
            <w:hyperlink w:anchor="tCO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UOP">
              <w:r>
                <w:rPr>
                  <w:rStyle w:val="InternetLink"/>
                  <w:spacing w:val="4"/>
                </w:rPr>
                <w:t>6</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DOSC">
              <w:r>
                <w:rPr>
                  <w:rStyle w:val="InternetLink"/>
                  <w:spacing w:val="4"/>
                </w:rPr>
                <w:t xml:space="preserve">DESCRIPTION OF SHARE CAPITAL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SC">
              <w:r>
                <w:rPr>
                  <w:rStyle w:val="InternetLink"/>
                  <w:spacing w:val="4"/>
                </w:rPr>
                <w:t>7</w:t>
              </w:r>
            </w:hyperlink>
            <w:hyperlink w:anchor="tDOS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DOAD">
              <w:r>
                <w:rPr>
                  <w:rStyle w:val="InternetLink"/>
                  <w:spacing w:val="4"/>
                </w:rPr>
                <w:t xml:space="preserve">DESCRIPTION OF AMERICAN DEPOSITARY SHARES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AD">
              <w:r>
                <w:rPr>
                  <w:rStyle w:val="InternetLink"/>
                  <w:spacing w:val="4"/>
                </w:rPr>
                <w:t>19</w:t>
              </w:r>
            </w:hyperlink>
            <w:hyperlink w:anchor="tDOA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DOPS">
              <w:r>
                <w:rPr>
                  <w:rStyle w:val="InternetLink"/>
                  <w:spacing w:val="4"/>
                </w:rPr>
                <w:t xml:space="preserve">DESCRIPTION OF PREFERRED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PS">
              <w:r>
                <w:rPr>
                  <w:rStyle w:val="InternetLink"/>
                  <w:spacing w:val="4"/>
                </w:rPr>
                <w:t>36</w:t>
              </w:r>
            </w:hyperlink>
            <w:hyperlink w:anchor="tDO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W">
              <w:r>
                <w:rPr>
                  <w:rStyle w:val="InternetLink"/>
                  <w:spacing w:val="4"/>
                </w:rPr>
                <w:t>38</w:t>
              </w:r>
            </w:hyperlink>
            <w:hyperlink w:anchor="tDO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DS">
              <w:r>
                <w:rPr>
                  <w:rStyle w:val="InternetLink"/>
                  <w:spacing w:val="4"/>
                </w:rPr>
                <w:t>39</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SR">
              <w:r>
                <w:rPr>
                  <w:rStyle w:val="InternetLink"/>
                  <w:spacing w:val="4"/>
                </w:rPr>
                <w:t>41</w:t>
              </w:r>
            </w:hyperlink>
            <w:hyperlink w:anchor="tDOS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U">
              <w:r>
                <w:rPr>
                  <w:rStyle w:val="InternetLink"/>
                  <w:spacing w:val="4"/>
                </w:rPr>
                <w:t>43</w:t>
              </w:r>
            </w:hyperlink>
            <w:hyperlink w:anchor="tDO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EOCL">
              <w:r>
                <w:rPr>
                  <w:rStyle w:val="InternetLink"/>
                  <w:spacing w:val="4"/>
                </w:rPr>
                <w:t xml:space="preserve">ENFORCEABILITY OF CIVIL LIABILITIES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OCL">
              <w:r>
                <w:rPr>
                  <w:rStyle w:val="InternetLink"/>
                  <w:spacing w:val="4"/>
                </w:rPr>
                <w:t>44</w:t>
              </w:r>
            </w:hyperlink>
            <w:hyperlink w:anchor="tEOCL">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TAX">
              <w:r>
                <w:rPr>
                  <w:rStyle w:val="InternetLink"/>
                  <w:spacing w:val="4"/>
                </w:rPr>
                <w:t xml:space="preserve">TAXATION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TAX">
              <w:r>
                <w:rPr>
                  <w:rStyle w:val="InternetLink"/>
                  <w:spacing w:val="4"/>
                </w:rPr>
                <w:t>45</w:t>
              </w:r>
            </w:hyperlink>
            <w:hyperlink w:anchor="tTAX">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OD">
              <w:r>
                <w:rPr>
                  <w:rStyle w:val="InternetLink"/>
                  <w:spacing w:val="4"/>
                </w:rPr>
                <w:t>52</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LEMA">
              <w:r>
                <w:rPr>
                  <w:rStyle w:val="InternetLink"/>
                  <w:spacing w:val="4"/>
                </w:rPr>
                <w:t>55</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XP">
              <w:r>
                <w:rPr>
                  <w:rStyle w:val="InternetLink"/>
                  <w:spacing w:val="4"/>
                </w:rPr>
                <w:t>56</w:t>
              </w:r>
            </w:hyperlink>
            <w:hyperlink w:anchor="t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ABOUT 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WYCF">
              <w:r>
                <w:rPr>
                  <w:rStyle w:val="InternetLink"/>
                  <w:spacing w:val="4"/>
                </w:rPr>
                <w:t>57</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IODB">
              <w:r>
                <w:rPr>
                  <w:rStyle w:val="InternetLink"/>
                  <w:spacing w:val="4"/>
                </w:rPr>
                <w:t xml:space="preserve">INCORPORATION OF DOCUMENTS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IODB">
              <w:r>
                <w:rPr>
                  <w:rStyle w:val="InternetLink"/>
                  <w:spacing w:val="4"/>
                </w:rPr>
                <w:t>58</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shelf registration statement that we filed with the Securities and Exchange Commission, or the SEC. By using a shelf registration statement, we may, at any time and from time to time, offer and sell up to an aggregate of $270.0 million the securities as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the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otherwise indicated or unless the context otherwise requires, references to: </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ADRs” are to American depositary receipts, which, if issued, evidence the ADSs;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ADSs” are to the American depositary shares, each of which represents 15 of our Class A ordinary shares;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Series A Convertible Preferred Shares” are to our series A convertible preferred shares, par value $0.00000005 per share;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Series A-1 Preferred Shares” are to our series A-1 convertible preferred shares, par value $0.00000005 per share;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PRC subsidiaries” are to, for the purpose of this prospectus, Hangzhou Canaan Intelligence Information Technology Co., Ltd., Canaan Creative Co., Ltd., Langfang Creative Technology Co., Ltd., Canaan Convey Co., Ltd., Zhejiang Avalon Technology Co., Ltd., Canaan Bright Sight Co., Ltd., Canaan Creative (SH) Co., Ltd, Beijing Kunlun Technology Co., Ltd. and Hangzhou Ruihong Technology.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operating subsidiaries” are to, for the purpose of this prospectus, Canaan Creative Co., Ltd., Langfang Creative Technology Co., Ltd., Canaan Convey Co., Ltd., Zhejiang Avalon Technology Co., Ltd., Canaan Creative (SH) Co., Ltd, Canaan Creative International PTE. Ltd., Canaan Creative Global Pte. Ltd., and Canaan U.S. Inc.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RMB” or “Renminbi” are to the legal currency of China;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US$,” “U.S. dollars,” or “dollars” are to the legal currency of the United States; and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we,” “us,” “our company,” “the Company,” “our” and “Canaan” are to Canaan Inc. and its subsidiaries, as the context requires.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FOST"/>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by reference herein contain statements of a forward-looking nature. All statements other than statements of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In some cases, these forward-looking statements can be identified by words or phrases such as “may,” “will,” “expect,” “anticipate,” “aim,” “estimate,” “intend,” “plan,” “believe,” “potential,” “continue,” “is/are likely to” or other similar expressions. These forward-looking statements relate to, among others: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goal and strategies;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expansion plans;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business development, financial condition and results of operations;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demand for, and market acceptance of, our products;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and business conditions; and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 factors discussed under “Risk Factors” included in the applicable prospectus supplement or under similar headings in other documents which are incorporated by reference in this prospectus.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based these forward-looking statements largely on our current expectations and projections about future events and financial trends that we believe may affect our financial condition, results of operations, business strategy and financial needs.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these statements in conjunction with the risks discussed under the heading “Risk Factors” included in the applicable prospectus supplement or under similar headings in other documents which are incorporated by reference in this prospectus. Moreover, we operate in an emerging and evolving environment. New risks may emerge from time to time, and it is not possible for our management to predict all risks, nor can we assess the impact of such risks on our business or the extent to which any risk, or combination of risks, may cause actual results to differ materially from those contained in any forward-looking statements. The forward-looking statements made in this prospectus and the documents incorporated by reference herein relate only to events or information as of the date on which the statements are made in this prospectus and such incorporated documents. Except as required by law, we undertake no obligation to update any forward-looking statements to reflect events or circumstances after the date on which the statements are made or to reflect the occurrence of unanticipated events. You should read this prospectus and the documents incorporated by reference herein and have filed as exhibits to this prospectus and the incorporated documents, completely and with the understanding that our actual future results may be materially different from what we expect.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UCO"/>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primarily focus on providing crypto mining solutions through our proprietary ASICs. We have strong ASIC chip design capability underpinned by over ten years of industry experience and the expertise of our founders and management team. We are one of the few fabless IC design companies with the advanced technology to independently design ASIC, established access to leading wafer foundry capacity and proven in-house capability to produce Bitcoin mining machines. We primarily dedicated technology and expertise in ASIC applications to industrial Bitcoin mining machines and are a leading producer of Bitcoin mining machines in the global market. In addition, to further diversify our product offering and democratize access to bitcoin mining, we launched the Avalon Home series in 2024 and formally commercialized it in 2025, a new line of compact, energy-efficient mining devices crafted for individual users and home environments. The Avalon Home series represents our first step into the home-use mining machine market, blending reliable hash rate output with user-friendly interfaces, low noise operation, and streamlined connectivity. We believe our extensive experience and expertise in ASIC applications position us well in our future endeavors.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Leveraging our deep understanding of the cryptocurrency industry and strong technology as applied to ASIC chip design, we intend to capture the growth opportunity along the value chain of the cryptocurrency industry to enhance our offerings and achieve more stable financial performance. We have started with the Bitcoin mining business through our strategic collaboration with certain cryptocurrency mining farms and energy providers, aiming to develop the Bitcoin mining business as the second engine to capitalize on the Bitcoin ecosystem and synergize with our bitcoin mining machines sales. We also intend to engage in Bitcoin mining through self-owned facilities. We endeavor to grow our deployed computing power for mining and improve the energized hash rate to enhance our mining business. For the years ended December 31, 2023, 2024 and 2025, we generated revenue of US$34.0 million, US$44.0 million and US$113.2 million from the Bitcoin mining business,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developed competitive advantages in our business and technological capabilities,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expertise in the development, designing and production of Bitcoin mining machines;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mastery of the whole IC design process;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years of accumulated engineering experience in applying theoretical research to the mass production of new products;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achieve a fast time-to-market with our products and our successful early monetization of the ASIC design in blockchain applications have provided us with an early advantage with respect to both technology and capital reserve to pursue our strategic initiatives;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breakthroughs in various technological fields to improve ASIC performance, such as low voltage and high power efficiency operations and high computing density, all of which are crucial features for ASICs for blockchain;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ownership of most of the intellectual property we employ, and our accumulation of valuable know-how and multiple generations of proprietary silicon data through our long-term ASIC design experience;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long-term partnerships with leading global suppliers, which have enabled us to achieve high-quality, high yield rate and stable production;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continued development of the penetration into the Bitcoin mining business by leveraging our experience in Bitcoin mining machines production and sales, as well as our relationship with global mining farms; and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provide customized solutions to our customers, including tailored mining solutions, energy infrastructure stabilizer solutions, algorithm development and optimization, hardware module, end-product and software services.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OIN"/>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28 Ayer Rajah Crescent, #06-08, Singapore 139959. Our telephone number at this address is +65 6305 6618. Our registered office in the Cayman Islands is located at P.O. Box 31119, Grand Pavilion, Hibiscus Way, 802 West Bay Road, Grand Cayman, KY1-1205, Cayman Islands. Our agent for service of process in the United States is Cogency Global Inc., located at 122 East 42nd Street, 18th Floor, New York, New York 10168.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SEC maintains an internet site that contains reports, proxy and information statements, and other information regarding issuers that file electronically with the SEC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You can also find information on our website at </w:t>
      </w:r>
      <w:r>
        <w:rPr>
          <w:rFonts w:ascii="Times New Roman;Times;serif" w:hAnsi="Times New Roman;Times;serif"/>
          <w:b w:val="false"/>
          <w:i/>
          <w:caps w:val="false"/>
          <w:smallCaps w:val="false"/>
          <w:color w:val="000000"/>
          <w:spacing w:val="4"/>
          <w:sz w:val="20"/>
        </w:rPr>
        <w:t>www.canaan-creative.com</w:t>
      </w:r>
      <w:r>
        <w:rPr>
          <w:rFonts w:ascii="Times New Roman;Times;serif" w:hAnsi="Times New Roman;Times;serif"/>
          <w:b w:val="false"/>
          <w:i w:val="false"/>
          <w:caps w:val="false"/>
          <w:smallCaps w:val="false"/>
          <w:color w:val="000000"/>
          <w:spacing w:val="4"/>
          <w:sz w:val="20"/>
        </w:rPr>
        <w:t xml:space="preserve">. The information contained on our website is not a part of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depositary will make such notices, reports and communications available to holders of ADSs in accordance with the terms and conditions of the deposit agreement and, if we so request, will distribute to all record holders of ADSs the information contained in any notice of a shareholders’ meeting received by the depositary from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 You should also consider the risks and uncertainties discussed under the heading “Risk Factors” in </w:t>
      </w:r>
      <w:hyperlink r:id="rId5">
        <w:r>
          <w:rPr>
            <w:rStyle w:val="InternetLink"/>
          </w:rPr>
          <w:t>our annual report on Form 20-F for the fiscal year ended December 31, 2025</w:t>
        </w:r>
      </w:hyperlink>
      <w:r>
        <w:rPr>
          <w:rFonts w:ascii="Times New Roman;Times;serif" w:hAnsi="Times New Roman;Times;serif"/>
          <w:b w:val="false"/>
          <w:i w:val="false"/>
          <w:caps w:val="false"/>
          <w:smallCaps w:val="false"/>
          <w:color w:val="000000"/>
          <w:spacing w:val="4"/>
          <w:sz w:val="20"/>
        </w:rPr>
        <w:t xml:space="preserve">, including in particular, the sub-section, captioned “Risks Relating to Doing Business in the PRC”, all of which is incorporated by reference in this prospectus, and which may be amended, supplemented or superseded from time to time by other reports we file with the SEC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intend to use the net proceeds from the sale of the securities we offer as set forth in the applicable prospectus supplement(s).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SC"/>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exempted company incorporated in the Cayman Islands with limited liability and our affairs are governed by our memorandum and articles of association, and the Companies Act of the Cayman Islands, as amended, which we refer to as the Cayman Companies Act, and the common law of the Cayman Islands.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our authorized share capital was US$50,000 divided into 999,643,050,556 Class A ordinary shares of per value US$0.00000005 each and 356,624,444 Class B ordinary shares of par value US$0.00000005 each, 125,000 Series A Preferred Shares of par value US$0.00000005 each, and 200,000 Series A-1 Preferred Shares of par value US$0.00000005 each.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we have 11,237,922,873 Class A ordinary shares, 311,624,444 Class B ordinary shares issued and outstanding. As of the date of this prospectus, there are no issued and outstanding preferred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summaries of certain material provisions of our amended and restated memorandum and articles of association adopted by special resolution passed on October 8, 2019 and effective immediately prior to the completion of the initial public offering of our ADSs representing our Class A ordinary shares, or our articles of association and the Cayman Companies Act insofar as they relate to the material terms of our ordinary shares. The following summary is not complete, and you should read our amended and restated memorandum and articles of association, a form of which was filed with the SEC as Exhibit 3.2 to the registration statement on Form F-1 (File No. 333-234356), originally filed on October 28, 2019, as amended.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issued and outstanding ordinary shares are fully paid and non-assessable. Our ordinary shares are divided into Class A ordinary shares and Class B ordinary shares. Holders of our Class A ordinary shares and Class B ordinary shares will have the same rights except for voting and conversion rights. Each Class A Ordinary Share shall entitle the holder thereof to one vote on all matters subject to vote at our general meetings, and each Class B ordinary share shall entitle the holder thereof to 15 votes on all matters subject to vote at our general meetings. Our ordinary shares are issued in registered form, and are issued when registered in our register of shareholders. Our shareholders who are non-residents of the Cayman Islands may freely hold and vote their ordinary shares. We may not issue shares to bearer.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Conversion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Class B ordinary share is convertible into one Class A ordinary share at any time at the option of the holder thereof. Class A ordinary shares are not convertible into Class B ordinary shares under any circumstances. Pursuant to our articles of association, upon any sale, transfer, assignment or disposition of any Class B ordinary share by a holder thereof to any person who is not an affiliate of such holder, or upon a change of ultimate beneficial ownership of any Class B ordinary share to any person who is not an affiliate of the registered shareholder of such Class B ordinary share, such Class B ordinary share shall be automatically and immediately converted into the same number of Class A ordinary share. For this purpose, beneficial ownership shall have the meaning set forth in Rule 13d-3 under the United States Securities Exchange Act of 1934, as amended.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“affiliate” for the purposes of our articles of association 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 cent (50%) of the voting power of the corporation, partnership or other entity (other than, in the case of a corporation,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having such power only by reason of the happening of a contingency), or having the power to control the management or elect a majority of members to the board of directors or equivalent decision-making body of such corporation, partnership or other entity.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for the purposes of our articles of association means any natural person, firm, company, joint venture, partnership, corporation, association or other entity (whether or not having a separate legal personality) or any of them as the context so requires.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on the transmission of shares following the death of a holder of Class B ordinary shares, such Class B ordinary shares will not automatically convert into the same number of Class A ordinary shares unless such transmission of shares results in a change in ultimate beneficial ownership of such Class B ordinary share(s) to any person who is not an affiliate of the relevant holder of Class B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our ordinary shares are entitled to such dividends as may be declared by our board of directors. In addition, our shareholders may declare dividends by ordinary resolution, but no dividend shall exceed the amount recommended by our directors.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consist of Class A ordinary shares and Class B ordinary shares. Holders of our Class A ordinary shares and our Class B ordinary shares shall, at all times, vote together as one class on all matters submitted to a vote by our shareholders at any general meeting of our company. Each Class A ordinary share shall be entitled to one vote, and each Class B ordinary share shall be entitled to 15 votes, on all matters subject to a vote at general meetings of our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at any meeting of shareholders is by a show of hands, unless a poll is (before or on the declaration of the result of the show of hands) demanded by the chairman of the meeting or any shareholder present in person or by proxy of the Company entitled to vote, and, unless a poll is so demanded, a declaration by the chairman of the meeting that a resolution has, on a show of hands, been carried or carried unanimously, or by a particular majority, or lost and an entry to that effect in the minutes of the proceedings of the Company, shall be conclusive evidence of the fact, without proof of the number of proportion of the votes recorded in favor of, or against that resolution.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our shareholders may transfer all or any of his or her ordinary shares by an instrument of transfer in any usual or common form or any other form approved by our board of directors, executed by or on behalf of the transferor.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in its absolute discretion, decline to register any transfer of any ordinary share that has not been fully paid up or is subject to a company lien. Our board of directors may also decline to register any transfer of any ordinary share unless: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lodged with us, accompanied by the certificate for the ordinary shares to which it relates and such other evidence as our board of directors may reasonably require to show the right of the transferor to make the transfer;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in respect of only one class of ordinary shares;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properly stamped, if required;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ordinary share transferred is fully paid and free of any lien in favor of us;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fee related to the transfer has been paid to us; and in the case of any transfer to joint holders, the transfer is not to more than four joint holders.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Winding Up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such assets will be distributed so that, as nearly as may be, the losses are borne by our shareholders in proportion to the par value of the shares held by them.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liquidator may, with the sanction of a special resolution of our shareholders, divide amongst the shareholders in species or in kind the whole or any part of the assets of our company, and may for such purpose set such value as the liquidator deems fair upon any property to be divided as aforesaid and may determine how the division shall be carried out as between our shareholders or different classes of shareholders.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exempted company with limited liability incorporated under the Cayman Companies Act, and under the Cayman Companies Act, the liability of our shareholders is limited to the amount, if any, unpaid on the shares respectively held by them. Our memorandum of association contains a declaration that the liability of our members is so limited.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Repurchase and Surrender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shares on terms that such shares are subject to redemption, at our option or at the option of the holders thereof, on such terms and in such manner as may be determined, before the issue of such shares, by our board of directors or by our shareholders by special resolution. Our company may also repurchase any of our shares (including any redeemable shares) in such manner and terms as been approved by our board of directors or by ordinary resolution of our shareholders, or as otherwise authorized by our articles of association. Under the Cayman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Cayman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Calls on Ordinary Shares and Forfeiture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from time to time make calls upon shareholders (or any of them) for any amounts unpaid on their ordinary shares in a notice served to such shareholders at least 14 calendar days prior to the specified time and place of payment. The ordinary shares that have been called upon and remain unpaid are subject to forfeiture.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Meetings of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Cayman Islands exempted company, we are not obliged by the Cayman Companies Act to call shareholders’ annual general meetings. Our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general meetings may be convened by a majority of our board of directors or by our chairman.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the total issued voting shares in our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Companies Act provides shareholders with only limited rights to requisition a general meeting, and does not provide shareholders with any right to put any proposal before a general meeting. However, these rights may be provided in a company’s articles of association. Our articles of association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However, our articles of association do not provide our shareholders with any right to put any proposals before annual general meetings or extraordinary general meetings not called by such shareholders.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Proceedings of Board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association provide that subject to the Cayman Companies Act, our articles of association and to any resolutions passed in a general meeting of our company, our business is to be managed and conducted by our board of directors. The quorum necessary for board meetings may be fixed by the board and, unless so fixed at another number, will be a majority of the directors.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association provide that the board may from time to time at its discretion exercise all powers of our company to raise capital or borrow money, to mortgage or charge all or any part of the undertaking, property and assets (present and future) and uncalled capital of our company and issue debentures, bonds and other securities of our company, whether outright or as collateral security for any debt, liability or obligation of our company or of any third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shareholders may from time to time by ordinary resolution: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our share capital by such sum, to be divided into shares of such classes and amount, as the resolution shall prescribe;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 and divide all or any of our share capital into shares of a larger amount than our existing shares;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sub-divide our existing shares, or any of them, into shares of a smaller amount; or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 any shares which, at the date of the passing of the resolution, have not been taken or agreed to be taken by any person and diminish the amount of our share capital by the amount of the shares so canceled.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shareholders may by special resolution, subject to confirmation by the Grand Court of the Cayman Islands on an application by our company for an order confirming such reduction, reduce our share capital or any capital redemption reserve in any manner permitted by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Inspection of Books and Records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ordinary shares will have no general right under the Cayman Companies Act to inspect or obtain copies of our list of shareholders or our corporate records (except for our memorandum and articles of association, special resolutions of our shareholders and our register of mortgages and charges). Under Cayman Islands law, the names of our current directors can be obtained from a search conducted at the Registrar of Companies in the Cayman Islands. However, we will provide our shareholders with annual audited financial statements. See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Exempted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exempted company with limited liability duly incorporated and validly existing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does not have to file an annual return of its shareholders with the Registrar of Companies of the Cayman Islands; </w:t>
      </w:r>
      <w:r>
        <mc:AlternateContent>
          <mc:Choice Requires="wps">
            <w:drawing>
              <wp:anchor behindDoc="0" distT="0" distB="0" distL="254000" distR="0" simplePos="0" locked="0" layoutInCell="1" allowOverlap="1" relativeHeight="42">
                <wp:simplePos x="0" y="0"/>
                <wp:positionH relativeFrom="column">
                  <wp:align>left</wp:align>
                </wp:positionH>
                <wp:positionV relativeFrom="line">
                  <wp:posOffset>635</wp:posOffset>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company’s register of members is not open to inspection;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does not have to hold an annual general meeting;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issue no par value shares;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obtain an undertaking against the imposition of any future taxation (such undertakings are given for up to 30 years);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register by way of continuation in another jurisdiction and be deregistered in the Cayman Islands;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register as a limited duration company; and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register as a segregated portfolio company.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Upon the closing of this offering, we will be subject to reporting and other informational requirements of the Exchange Act, as applicable to foreign private issuers. We may follow the home country practice for certain corporate governance practices after the closing of this offering which may differ from the Nasdaq Stock Market Rules. The Nasdaq Stock Market Rules require that every company listed on the Nasdaq Global Market hold an annual general meeting of shareholders. In addition, our articles of association allow our directors to call extraordinary general meetings of our shareholders pursuant to the procedures set forth in our articles of association.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Differences in Corporate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Companies Act is derived, to a large extent, from the older Companies Acts of England, but does not follow recent statutory enactments in England and accordingly there are significant differences between the Cayman Companies Act and the current Companies Act of England. In addition, the Cayman Companies Act differs from laws applicable to United States corporations and their shareholders. Set forth below is a summary of certain significant differences between the provisions of the Cayman Companies Act applicable to us and the laws applicable to companies incorporated in the State of Delaware.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Mergers and Similar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Companies Act permits mergers and consolidations between the Cayman Islands companies and between the Cayman Islands companies and the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among other things,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consent of each holder of a fixed or floating security interest of a constituent company is required unless this requirement is waived by a court in the Cayman Islands.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from a merger or consolidation, provided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Separate from the statutory provisions relating to mergers and consolidations, the Cayman Companies Act also contain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 or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statutory provisions as to the required majority vote have been met;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have been fairly represented at the meeting in question and the statutory majority are acting bona fide without coercion of the minority to promote interests adverse to those of the class;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arrangement is such that may be reasonably approved by an intelligent and honest man of that class acting in respect of his interest; and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arrangement is not one that would more properly be sanctioned under some other provision of the Cayman Companies Act.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Companies Act also contains a statutory power of compulsory acquisition which may facilitate the “squeeze out” of dissenting minority shareholder upon a tender offer. When a tender offer is made and accepted by holders of 90% of the shares affected within four months of the offer being made,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arrangement and reconstruction by the way of scheme of arrangement is thus approved,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Suits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principle, we will normally be the proper plaintiff to sue for a wrong done to us as a company and as a general rule, a derivative action may not be brought by a minority shareholder. However, based on English law authorities, which would in all likelihood be of persuasive authority in the Cayman Islands, the Cayman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Islands court can be expected to follow and apply the common law principles (namely the rule in </w:t>
      </w:r>
      <w:r>
        <w:rPr>
          <w:rFonts w:ascii="Times New Roman;Times;serif" w:hAnsi="Times New Roman;Times;serif"/>
          <w:b w:val="false"/>
          <w:i/>
          <w:caps w:val="false"/>
          <w:smallCaps w:val="false"/>
          <w:color w:val="000000"/>
          <w:spacing w:val="4"/>
          <w:sz w:val="20"/>
        </w:rPr>
        <w:t>Foss v. Harbottle</w:t>
      </w:r>
      <w:r>
        <w:rPr>
          <w:rFonts w:ascii="Times New Roman;Times;serif" w:hAnsi="Times New Roman;Times;serif"/>
          <w:b w:val="false"/>
          <w:i w:val="false"/>
          <w:caps w:val="false"/>
          <w:smallCaps w:val="false"/>
          <w:color w:val="000000"/>
          <w:spacing w:val="4"/>
          <w:sz w:val="20"/>
        </w:rPr>
        <w:t xml:space="preserve"> and the exceptions thereto) so that a non-controlling shareholder may be permitted to commence a class action against or derivative actions in the name of the company to challenge: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 which is illegal or ultra vires with respect to the company and is therefore incapable of ratification by the shareholders;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 which, although not ultra vires, requires authorization by a qualified (or special) majority (that is, more than a simple majority) which has not been obtained; and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 which constitutes a “fraud on the minority” where the wrongdoers are themselves in control of the company.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of Directors and Executive Officers and Limitation of Liability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dishonesty, willful default or fraud or the consequences of committing a crime. Our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 of association.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Anti-Takeover Provisions in Our Articles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our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under the Cayman Islands law, our directors may only exercise the rights and powers granted to them under our articles of association, as amended and restated from time to time, for a proper purpose and in what they believe in good faith to be in the best interests of our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Directors’ Fiduciary Duties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Delaware corporate law, a director of a Delaware corporation has a fiduciary duty to the corporation and its shareholders. This duty has two components: the duty of care and the duty of loyalty. The duty of care requires that a director acts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or she reasonably believes to be in the best interests of the corporation. He or she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matter of Cayman Islands law, a director of a Cayman Islands company is in the position of a fiduciary with respect to the company and therefore it is considered that he owes the following duties to the company — a duty to act bona fide in 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Companies Act provides shareholders with only limited rights to requisition a general meeting, and does not provide shareholders with any right to put any proposal before a general meeting. However, these rights may be provided in a company’s articles of association. Our articles of association allow our shareholders holding in aggregate not less than one-third of the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Our articles of association provide no other right to put any proposals before annual general meetings or extraordinary general meetings. As a Cayman Islands exempted company, we are not obligated by law to call shareholders’ annual general meetings.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Cumulative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 Cayman Islands law does not prohibit cumulative voting, but our articles of association do not provide for cumulative voting. As a result, our shareholders are not afforded any fewer protections or rights on this issue than shareholders of a Delaware 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Removal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a director of a corporation with a classified board may be removed only for cause with the approval of a majority of the outstanding shares entitled to vote, unless the certificate of incorporation provides otherwise. Under our articles of association, directors may be removed by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and the director, if any; but no such term shall be implied in the absence of express provision. In addition, a director’s office shall be vacated if the director (i) becomes bankrupt or makes any arrangement or composition with his creditors; (ii) dies or is found to be or becomes of unsound mind;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articles of association.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Transactions with Interested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fiduciary duties owed by our directors do require that such transactions must be entered into bona fide in the best interests of the company and for a proper corporate purpose and not with the effect of constituting a fraud on the minority shareholders.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Restructuring.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company may present a petition to the Grand Court of the Cayman Islands for the appointment of a restructuring officer on the grounds that the company: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or is likely to become unable to pay its debts; and </w:t>
      </w:r>
      <w:r>
        <mc:AlternateContent>
          <mc:Choice Requires="wps">
            <w:drawing>
              <wp:anchor behindDoc="0" distT="10414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intends to present a compromise or arrangement to its creditors (or classes thereof) either pursuant to the Companies Act, the law of a foreign country or by way of a consensual restructuring. </w:t>
      </w:r>
      <w:r>
        <mc:AlternateContent>
          <mc:Choice Requires="wps">
            <w:drawing>
              <wp:anchor behindDoc="0" distT="10414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Dissolution; Winding Up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majority of the corporation’s outstanding shares. Delaware law allows a Delaware corporation to include in its certificate of incorporation a supermajority voting requirement in connection with dissolutions initiated by the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Cayman Companies Act, our company may be wound up by either a special resolution of our shareholders or, if our company is unable to pay its debts as they fall due, by an ordinary resolution of our shareholders. In addition, a company may be wound up by an order of the courts of the Cayman Islands. The court has authority to order winding up in a number of specified circumstances including where it is, in the opinion of the court, just and equitable to do so.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Variation of Rights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a corporation may vary the rights of a class of shares with the approval of a majority of the outstanding shares of such class, unless the certificate of incorporation provides otherwise. Under our articles of association, if our share capital is divided into more than one class of shares, we may materially and adversely vary the rights attached to any class only with the consent in writing of the holders of not less than two-thirds of the issued shares of that class or with the sanction of an ordinary resolution passed at a separate meeting of the holders of the shares of that class.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Governing Documents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Cayman Companies Act and our articles of association, our memorandum and articles of association may only be amended by special resolution of our shareholders.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of Non-Resident or Foreign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limitations imposed by our articles of association on the rights of non-resident or foreign shareholders to hold or exercise voting rights on our shares. In addition, there are no provisions in our articles of association that require the Company to disclose shareholder ownership above any particular ownership threshold.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Directors’ Power to Issue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our board of directors is empowered to issue or allot shares or grant options, restricted shares, RSUs, share appreciation rights, dividend equivalent rights, warrants and analogous equity-based rights with or without preferred, deferred, qualified or other special rights or restrictions. In particular, pursuant to our articles of association, our board of directors has the authority, without further action by the shareholders, to issue all or any part of our capital and to fix the designations, powers, preferences, privileges, and relative participating, optional or special rights and the qualifications, limitations or restrictions therefrom, including dividend rights, conversion rights, voting rights, terms of redemption and liquidation preferences, any or all of which may be greater than the rights of our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History of Securities Issuances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our securities issuances in the past three years.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Ordinary Shares, Series A Preferred Shares and Series A-1 Preferred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10, 2023, we entered into an at market issuance sales agreement with B. Riley Securities, Inc. as a sales agent. From November 10, 2023 to December 31, 2023, we utilized the agreement with B. Riley Securities, Inc. for fundraising and sold 31,347,044 ADSs with net proceeds of approximately US$61.2 million at an average price of US$1.99 per ADS.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27, 2023, we entered into a securities purchase agreement with an institutional investor (the “Buyer”), pursuant to which we agreed to issue and sell to the Buyer up to 125,000 Series A Preferred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at the price of US$1,000.00 for each Series A Preferred Share (the “Series A Preferred Shares Financing”). The Series A Preferred Shares Financing was conducted in three tranches. The first tranche and second tranche of the Series A Preferred Shares Financing were closed on December 11, 2023 and January 22, 2024, raising total gross proceeds of US$25 million and US$50 million, respectively. On September 27, 2024, we closed the third and final tranche of the Series A Preferred Shares Financing, raising additional total gross proceeds of US$50 million. As of the date of this prospectus, all such shares have been converted into Class A ordinary shares and there are no issued and outstanding Series A Preferred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19, 2024, the Company entered into a securities purchase agreement with the Buyer, pursuant to which the Company agreed to issue and sell to the Buyer 30,000 Series A-1 Convertible Preferred Shares (the “Series A-1 Preferred Shares”) at the price of US$1,000.00 for each Series A-1 Preferred Share. On November 25, 2024, we closed the Series A-1 preferred shares financing, raising total gross proceeds of US$30 million. All such shares have been converted into Class A ordinary shares. As of the date of this prospectus, there are no issued and outstanding Series A-1 Preferred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23, 2024, we entered into a sales agreement (the “ATM Agreement”) with Macquarie Capital Limited, Keefe, Bruyette &amp; Woods, Inc., China Renaissance Securities (Hong Kong) Limited, Compass Point Research &amp; Trading, LLC, Craig-Hallum Capital Group LLC, Northland Securities, Inc., Rosenblatt Securities Inc., The Benchmark Company, LLC, and B. Riley Securities Inc. as sales agents. We filed a new prospectus supplement dated December 23, 2024, setting up the new at-the-market equity offering program (the “ATM Program”), under which the Company may sell up to an aggregate of US$270 million of the ADSs, each representing fifteen Class A ordinary shares of the Company, through or to the sales agents.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6, 2025, we entered into a Securities Purchase Agreement with an institutional investor, relating to the purchase of up to 200,000 Series A-1 Preferred Shares (the “2025 Series A-1 Preferred Shares”) at US$1,000.00 for each Series A-1 Preferred Share, providing with total gross proceeds of up to US$200 million. The first tranche closing of 2025 Series A-1 Preferred Shares was completed on March 10, 2025, where an initial US$100 million has been received. Effective April 30, 2025, the Buyer and we have mutually agreed to terminate the agreement with respect to the second tranche. All aforementioned 2025 Series A-1 Preferred Shares have been converted into Class A ordinary shares. All pre-delivery shares have been returned to 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24, 2025, we entered into an At-the-market offering agreement (the “2025 ATM Agreement”) with Macquarie Capital Limited, Keefe, Bruyette &amp; Woods, Inc., China Renaissance Securities (Hong Kong) Limited, Compass Point Research &amp; Trading, LLC, Northland Securities, Inc., Rosenblatt Securities Inc., The Benchmark Company, LLC, B. Riley Securities Inc. (“B. Riley”) and CLSA Limited as sales agents (the “sales agents”), pursuant to which we may issue up to US$270.0 million of the ADSs. For the year ended December 31, 2025, we issued 4,841,000 ADSs with net proceeds of US$7.2 million.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3, 2025, we entered into a securities purchase agreement with certain institutional investors for a registered direct placement of approximately US$72.0 million of our ADS, each ADS representing 15 Class A ordinary shares of us, par value US$0.00000005 per share, or US$1.13 per ADS (the “November 2025 RDO”).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 Repurchase Program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announced a share repurchase program approved by our board of directors on May 27, 2025, under which we may repurchase up to US$30 million worth of our outstanding ADSs and/or Class A ordinary shares over a period of six months. On December 17, 2025, we announced the renewal of share repurchase program approved by our board of directors, under which we may repurchase up to US$30 million worth of our outstanding ADSs and/or Class A ordinary shares over a period of twelve months. The repurchases have been through various means, including open market transactions at prevailing market prices, privately negotiated transactions, block trades or any combination thereof. The repurchases have been, and will be, effected in compliance with Rule 10b5-1 and/or Rule 10b-18 under the Exchange Act, and our insider trading policy. The number of ADSs repurchased and the timing of repurchases depends on a number of factors, including, but not limited to, price, trading volume and general market conditions, along with our working capital requirements and general business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 Options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We have granted options to purchase our ordinary shares and awards to certain of our executive officers and employees. See “Item 6. Directors, Senior Management and Employees — B. Compensation — Share Incentive Plan” in our </w:t>
      </w:r>
      <w:hyperlink r:id="rId6">
        <w:r>
          <w:rPr>
            <w:rStyle w:val="InternetLink"/>
          </w:rPr>
          <w:t>annual report on Form 20-F for the fiscal year ended December 31, 2025</w:t>
        </w:r>
      </w:hyperlink>
      <w:r>
        <w:rPr>
          <w:rFonts w:ascii="Times New Roman;Times;serif" w:hAnsi="Times New Roman;Times;serif"/>
          <w:b w:val="false"/>
          <w:i w:val="false"/>
          <w:caps w:val="false"/>
          <w:smallCaps w:val="false"/>
          <w:color w:val="000000"/>
          <w:spacing w:val="4"/>
          <w:sz w:val="20"/>
        </w:rPr>
        <w:t>, which is incorporated by reference in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A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AMERICAN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American Depositary Receipts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JPMorgan Chase Bank, N.A. (“JPMorgan”), as depositary, will issue the ADSs that you will be entitled to receive in this offering. Each ADS will represent an ownership interest in a designated number of shares, currently fifteen, that we will deposit with the custodian, as agent of the depositary, under the deposit agreement among ourselves, the depositary, and all holders and beneficial owners from time to time of American depositary receipts issued thereunder.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depositary’s office is located at 270 Park Avenue, Floor 8, New York, New York 10017.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ADS-to-share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beneficial owner is any person or entity having a beneficial ownership interest in ADSs. A beneficial owner need not be the holder of the ADR evidencing such ADS. If a beneficial owner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and the holder of the corresponding ADRs may affect the beneficial owner’s ability to exercise any rights it may have.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that reflect your ownership of ADSs.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ADR holder or beneficial owner,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our company and the depositary and its agents are also set out in the deposit agreement. Because the depositary or its nominee will actually be the registered owner of the shares, you must rely on it to exercise the rights of a shareholder on your behalf.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the ADRs and the ADSs are governed by the internal laws of the State of New York without giving effect to the application of the conflict of law principles thereof. Under the deposit agreement, as an ADR holder or a beneficial owner of ADSs, you agree that any legal suit, action or proceeding against or involving us or the depositary, arising out of or based upon the deposit agreement, the ADSs, the ADRs or the transactions contemplated thereby, may only be instituted by you in the United States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District Court for the Southern District of New York (or, in certain cases, the state courts of New York County, New York), and you irrevocably waive any objection which you may have to the laying of venue of any such proceeding and irrevocably submit to the exclusive jurisdiction of such courts in any such suit, action or proceeding.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that contains the terms of your ADSs. You can read a copy of the deposit agreement, which is filed as an exhibit to the registration statement (or amendment thereto) filed with the U.S. Securities and Exchange Commission (the “SEC”) of which this prospectus forms a part. You may also obtain a copy of the deposit agreement at the SEC’s Public Reference Room, which is currently located at 100 F Street, NE, Washington, DC 20549. You may obtain information on the operation of the Public Reference Room by calling the SEC at 1-800-732-0330. You may also find the registration statement and the attached deposit agreement on the SEC’s website at http://www.sec.gov.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 on Deposited Securities,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will I receive dividends and other distributions on the shares underlying my ADSs?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and/or property under the deposit agreement. Such division, branch and/or affiliate may charge the depositary a fee in connection with such sales, which fee is considered an expense of the depositary chargeable to holders of ADSs. All sales of securities will be handled by the depositary in accordance with its then current policies. You will receive these distributions in proportion to the number of underlying securities that your ADSs represent. In all instances where the deposit agreement or an ADR refers to a “sale” ​(or words of similar import) of securities or property, the depositary shall not be obligated to effect any such sale unless the securities to be sold are listed and publicly traded on a securities exchange or there is a public market for the property to be sold. To the extent the securities are not so listed and publicly traded or there is no public market for the property so distributed by us: (i) the depositary shall, in the event the deposit agreement is terminated and the depositary holds deposited securities that are not listed and publicly traded after the termination date of the deposit agreement, act in accordance with the termination provisions of the deposit agreement and form of ADR in respect of such securities and property; and (ii) in the event the depositary or its custodian receives a distribution other than cash, our shares and/or rights to acquire our shares, and such distribution consists of securities or property that are not distributed by the depositary the depositary will be deemed to have sold the aggregate number of securities and/or property so received for nominal value and shall have no obligation to distribute such securities or any proceeds from the deemed sale thereof to the ADR holders. Furthermore, in the event the depositary endeavors to make a sale of shares, other securities or property, such securities and/or property may be sold in a block sale or single lot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stated below, the depositary will deliver such distributions to ADR holders in proportion to their interests in the following manner: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w:t>
      </w:r>
      <w:r>
        <w:rPr>
          <w:rFonts w:ascii="Times New Roman;Times;serif" w:hAnsi="Times New Roman;Times;serif"/>
          <w:b w:val="false"/>
          <w:i w:val="false"/>
          <w:caps w:val="false"/>
          <w:smallCaps w:val="false"/>
          <w:color w:val="000000"/>
          <w:spacing w:val="4"/>
          <w:sz w:val="20"/>
        </w:rPr>
        <w:t xml:space="preserve">.   The depositary will distribute any U.S. dollars available to it resulting from a cash dividend or other cash distribution or the net proceeds of sales of any other distribution or portion thereof (to the extent applicable), on an averaged or other practicable basis, subject to (i) appropriate adjustments for taxes withheld, (ii) such distribution being permissible or practicable with respect to certain registered ADR holders, and (iii) deduction of the depositary’s and/or its agents’ fees and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for such conversion or transfer, which is obtainable at a reasonable cost and within a reasonable time and (4) making any sale by public or private means in any commercially reasonable manner. To the extent that any of the deposited securities is not or shall not be entitled, by reason of its date of issuance, or otherwise, to receive the full amount of such cash dividend, distribution, or net proceeds of sales, the depositary shall make appropriate adjustments in the amounts distributed to the ADR holders issued in respect of such deposited securities. To the extent we or the depositary shall be required to withhold and do withhold from any cash dividend, distribution or net proceeds from sales in respect of any deposited securities an amount on account of taxes, the amount distributed on the ADSs issued in respect of such deposited securities shall be reduced accordingly. </w:t>
      </w:r>
    </w:p>
    <w:p>
      <w:pPr>
        <w:pStyle w:val="TextBody"/>
        <w:bidi w:val="0"/>
        <w:spacing w:lineRule="atLeast" w:line="230" w:before="160" w:after="283"/>
        <w:ind w:left="197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the extent the depositary determines in its discretion that it would not be permitted by applicable law, rule or regulation, or it would not otherwise be practicable, to convert foreign currency into U.S. dollars and distribute such U.S. dollars to some or all of the ADR holders entitled thereto, the depositary may in its discretion distribute some or all of the foreign currency received by the depositary as it deems permissible and practicable to, or retain and hold such foreign currency uninvested and without liability for interest thereon for the respective accounts of, the ADR holders entitled to receive the same. To the extent the depositary retains and holds any cash, foreign currency, securities or other property as permitted under the deposit agreement, any and all fees, charges and expenses related to, or arising from, the holding thereof shall be paid from such cash, foreign currency, securities or other property, or the net proceeds from the sale thereof, thereby reducing the amount so held. </w:t>
      </w:r>
      <w:r>
        <w:rPr>
          <w:rFonts w:ascii="Times New Roman;Times;serif" w:hAnsi="Times New Roman;Times;serif"/>
          <w:b w:val="false"/>
          <w:i/>
          <w:caps w:val="false"/>
          <w:smallCaps w:val="false"/>
          <w:color w:val="000000"/>
          <w:spacing w:val="4"/>
          <w:sz w:val="20"/>
        </w:rPr>
        <w:t>If exchange rates fluctuate during a time when the depositary cannot convert a foreign currency, you may lose some or all of the value of the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In the case of a distribution in shares, the depositary will issue additional ADRs to evidence the number of ADSs representing such shares. Only whole ADSs will be issued. Any shares that would result in fractional ADSs will be sold and the net proceeds of the public or private sales of such will be distributed in the same manner as cash to the ADR holders entitled thereto.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Rights to receive additional shares</w:t>
      </w:r>
      <w:r>
        <w:rPr>
          <w:rFonts w:ascii="Times New Roman;Times;serif" w:hAnsi="Times New Roman;Times;serif"/>
          <w:b w:val="false"/>
          <w:i w:val="false"/>
          <w:caps w:val="false"/>
          <w:smallCaps w:val="false"/>
          <w:color w:val="000000"/>
          <w:spacing w:val="4"/>
          <w:sz w:val="20"/>
        </w:rPr>
        <w:t xml:space="preserve">.   In the case of a distribution of rights to subscribe for additional shares or other 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such rights if practicable and distribute the net proceeds of the public or private sales of such rights in the same manner as cash to the ADR holders entitled thereto; or </w:t>
      </w:r>
      <w:r>
        <mc:AlternateContent>
          <mc:Choice Requires="wps">
            <w:drawing>
              <wp:anchor behindDoc="0" distT="100330" distB="0" distL="508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it is not practicable to sell such rights by reason of the non-transferability of the rights, limited markets therefor, their short duration or otherwise, do nothing and allow such rights to lapse, in which case ADR holders will receive nothing and the rights may lapse. </w:t>
      </w:r>
      <w:r>
        <mc:AlternateContent>
          <mc:Choice Requires="wps">
            <w:drawing>
              <wp:anchor behindDoc="0" distT="101600" distB="0" distL="508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9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 obligation to file a registration statement under the Securities Act in order to make any rights available to ADR holders.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Distributions</w:t>
      </w:r>
      <w:r>
        <w:rPr>
          <w:rFonts w:ascii="Times New Roman;Times;serif" w:hAnsi="Times New Roman;Times;serif"/>
          <w:b w:val="false"/>
          <w:i w:val="false"/>
          <w:caps w:val="false"/>
          <w:smallCaps w:val="false"/>
          <w:color w:val="000000"/>
          <w:spacing w:val="4"/>
          <w:sz w:val="20"/>
        </w:rPr>
        <w:t xml:space="preserve">.   In the case of a distribution of securities or property other than those described above, the depositary may either (i) distribute such securities or property in any manner it deems equitable and practicable or (ii) to the extent the depositary deems distribution of such securities or property not to be equitable and practicable, sell such securities or property and distribute any net proceeds of public or private sales in the same way it distributes cash.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Elective Distributions.</w:t>
      </w:r>
      <w:r>
        <w:rPr>
          <w:rFonts w:ascii="Times New Roman;Times;serif" w:hAnsi="Times New Roman;Times;serif"/>
          <w:b w:val="false"/>
          <w:i w:val="false"/>
          <w:caps w:val="false"/>
          <w:smallCaps w:val="false"/>
          <w:color w:val="000000"/>
          <w:spacing w:val="4"/>
          <w:sz w:val="20"/>
        </w:rPr>
        <w:t xml:space="preserve">   In the case of a dividend payable at the election of our shareholders in cash or in additional ordinary shares, we will notify the depositary at least 30 days prior to the proposed distribution stating whether or not we wish such elective distribution to be made available to ADR holders. The depositary shall make such elective distribution available to ADR holders only if (i) we shall have timely requested that the elective distribution is available to ADR holders, (ii) the depositary shall have determined that such distribution is reasonably practicable and (iii) the depositary shall have received satisfactory documentation within the terms of the deposit agreement including any legal opinions of counsel that the depositary in its reasonable discretion may request. If the above conditions are not satisfied, the depositary shall, to the extent permitted by law, distribute to the ADR holders, on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basis of the same determination as is made in the local market in respect of the ordinary shares for which no election is made, either (x) cash or (y) additional ADSs representing such additional ordinary shares. If the above conditions are satisfied, the depositary shall establish procedures to enable ADR holders to elect the receipt of the proposed dividend in cash or in additional ADSs. There can be no assurance that ADR holders or beneficial owners of ADSs generally, or any ADR holder or beneficial owner of ADSs in particular, will be given the opportunity to receive elective distributions on the same terms and conditions as the holders of ordinary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determines in its sole discretion that any distribution described above is not practicable with respect to any or all ADR holders, the depositary may choose any method of distribution that it deems practicable for such ADR holder, including the distribution of some or all of any cash, foreign currency, securities or other property (or appropriate documents evidencing the right to receive some or all of any such cash, foreign currency, security or other property), and/or it may retain some or all of such items, without paying interest on or investing them, on behalf of the ADR holder as deposited securities, in which case the ADSs will also represent the retained items. To the extent the depositary does not reasonably believe it will be permitted by applicable law, rule or regulation to convert foreign currency into U.S. dollars and distribute such U.S. dollars to some or all of the ADR holders, the depositary may in its discretion distribute the foreign currency received by the depositary to, or hold such foreign currency uninvested and without liability for interest thereon for the respective accounts of, the ADR holders entitled to receive the same. To the extent the depositary holds such foreign currency, any and all costs and expenses related to, or arising from, the holding of such foreign currency shall be paid from such foreign currency thereby reducing the amount so held.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U.S. dollars will be paid via wire transfer and/or distributed by checks drawn on a bank in the United States for whole dollars and cents. Fractional cents will be withheld without liability and dealt with by the depositary in accordance with its then current practices.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depositary is not responsible if it fails to determine that any distribution or action is lawful or reasonably practicable.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on the “Disclosures” page (or successor page) of www.adr.com (as updated by the depositary from time to time, “ADR.com”).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Deposit, Withdrawal and Cancellation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does the depositary issue ADSs?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custodian will hold all deposited shares (including those being deposited by or on our behalf in connection with the offering to which this prospectus relates) for the account and to the order of the depositary, in each case for the benefit of ADR holders, to the extent not prohibited by law.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ADR holder’s name. An ADR holder can request that the ADSs not be held through the depositary’s direct registration system and that a certificated ADR be issued.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 ADR holders cancel an ADS and obtain deposited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turn in your ADR certificate at the depositary’s office, or when you provide proper instructions and documentation in the case of direct registration ADSs, subject to the provisions of or governing our shares (including, without limitation, our governing documents and all applicable laws, rules and regulations), the depositary will, upon payment of certain applicable fees, charges and taxes, deliver the underlying shares to you or upon your written order. Delivery of deposited securities in certificated form will be made at the custodian’s office (or from the custodian to the extent dematerialized). At your risk, expense and request, the depositary may deliver deposited securities (including any certificates therefor) at such other place as you may request.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only restrict the withdrawal of deposited securities in connection with: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temporary delays caused by closing our transfer books or those of the depositary or the deposit of shares in connection with voting at a shareholders’ meeting, or the payment of dividends; </w:t>
      </w:r>
      <w:r>
        <mc:AlternateContent>
          <mc:Choice Requires="wps">
            <w:drawing>
              <wp:anchor behindDoc="0" distT="6985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payment of fees, taxes and similar charges; or </w:t>
      </w:r>
      <w:r>
        <mc:AlternateContent>
          <mc:Choice Requires="wps">
            <w:drawing>
              <wp:anchor behindDoc="0" distT="495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any U.S. or foreign laws or governmental regulations relating to the ADRs or to the withdrawal of deposited securities. </w:t>
      </w:r>
      <w:r>
        <mc:AlternateContent>
          <mc:Choice Requires="wps">
            <w:drawing>
              <wp:anchor behindDoc="0" distT="495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right of withdrawal may not be limited by any other provision of the deposit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applicable to the ADRs, the depositary may, after consultation with us if practicable and related to a corresponding record date set by us, fix a record date for the ADRs (which, to the extent applicable, shall be as near as practicable to any corresponding record dates set by us) for the determination of the registered ADR holders who will be: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responsible for the fee assessed by the depositary for administration of the ADR program and for any other amounts provided for in the Deposit Agreement and/or ADR, </w:t>
      </w:r>
      <w:r>
        <mc:AlternateContent>
          <mc:Choice Requires="wps">
            <w:drawing>
              <wp:anchor behindDoc="0" distT="6985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entitled to receive any distribution on or in respect of deposited securities, </w:t>
      </w:r>
      <w:r>
        <mc:AlternateContent>
          <mc:Choice Requires="wps">
            <w:drawing>
              <wp:anchor behindDoc="0" distT="495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entitled to give instructions for the exercise of any voting rights, and/or </w:t>
      </w:r>
      <w:r>
        <mc:AlternateContent>
          <mc:Choice Requires="wps">
            <w:drawing>
              <wp:anchor behindDoc="0" distT="495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eligible to receive any notice or to act in respect of other matters that only ADR holders shall be so entitled or obligated, </w:t>
      </w:r>
      <w:r>
        <mc:AlternateContent>
          <mc:Choice Requires="wps">
            <w:drawing>
              <wp:anchor behindDoc="0" distT="482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subject to the provisions of the deposit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 I vote?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an ADR holder and the depositary asks you to provide it with voting instructions, you may instruct the depositary how to exercise the voting rights for the shares which underlie your ADSs. As soon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thirty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the laws of the Cayman Islands, be entitled to instruct the depositary as to the exercise of the voting rights, if any, pertaining to the deposited securities represented by the ADSs evidenced by such ADR holder’s ADRs and (iii) the manner in which such instructions may be given or deemed given,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(A) the depositary has been provided with at least thirty-five (35) days’ notice of the proposed meeting from us, (B) the voting notice sent by the depositary will be received by all registered and beneficial ADR holders no less than ten (10) days prior to the date of the meeting and/or the cut-off date for the solicitation of consents, and (C) the depositary does not receive instructions on a particular agenda item from an ADR holder (including, without limitation, any entity or entities acting on behalf of the nominee for DTC) in a timely manner, such ADR holder shall be deemed, and the depositary is instructed to deem such ADR holder, to have instructed the depositary to give a discretionary proxy for such agenda item(s) to a person designated by us to vote the shares represented by the ADSs for which actual instructions were not so given by all such ADR holders on such agenda item(s), provided that no such instruction shall be deemed given and no discretionary proxy shall be given unless (1) we inform the depositary in writing that (a) we wish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it,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 Neither the depositary, its custodian nor any of its or their respective agents shall incur any liability (i) as a result of our failure to determine that any of the circumstances described in (1)(b) or (1)(c) above exist or our failure to timely notify the depositary of any such circumstances or (ii) if any agenda item which is approved at a meeting has, or is claimed to have, a material or adverse effect on the rights of holders of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there is no guarantee that ADR holders will receive voting notices with sufficient time to enable such ADR holders to return any voting instructions to the depositary in a timely manner, ADR holders may be deemed to have instructed the depositary to give a discretionary proxy to a person designated by us in such circumstances, and neither the depositary, its custodian nor any of its or their respective agents shall incur any liability to ADR holders or others in such circumstances.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Cayman Islands law and our memorandum and articles of association, each as in effect as of the date of this prospectus, voting at any meeting of our shareholders is by show of hands unless a poll is (before or on the declaration of the results of the show of hands or on the withdrawal of any other demand for a poll)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demanded. In the event that voting on any resolution or matter is conducted on a show of hands basis in accordance with our memorandum and articles of association, the depositary will refrain from voting and the voting instructions received by the depositary shall lapse. The depositary will not demand a poll or join in demanding a poll, whether or not requested to do so.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pursuant to the terms of the deposit agreement, or for the effect of any such vote.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anything contained in the deposit agreement or any ADR, the depositary may, to the extent not prohibited by any law, rule or regulation, or by the rules, regulations or requirements of any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by reference to a website containing the materials for retrieval or a contact for requesting copies of the materials).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guarantee that you will receive voting materials in time to instruct the depositary to vote and it is possible that you, or persons who hold their ADSs through brokers, dealers or other third parties, will not have the opportunity to exercise a right to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Reports and Other Communications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Will ADR holders be able to view our reports?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the provisions of or governing deposited securities, and any written communications from us which are both received by the custodian or its nominee as a holder of deposited securities and made generally available to the holders of deposited securities, are available for inspection by ADR holders at the offices of the depositary in the United States, on the SEC’s internet website or upon request to the depositary (which request may be refused by the depositary at its discretion).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if we make any written communications generally available to holders of our shares, and we furnish copies thereof (or English translations or summaries) to the depositary, it will distribute the same to registered ADR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fees and expenses will I be responsible for paying?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ADSs are cancelled or reduced for any other reason, a fee of up to $5.00 for each 100 ADSs (or any portion thereof) issued, delivered, reduced, cancelled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additional fees, charges and expenses shall also be incurred by the ADR holders, the beneficial owners, by any party depositing or withdrawing shares or by any party surrendering ADSs and/or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whom ADSs are issued (including, without limitation, issuance pursuant to a stock dividend or stock split declared by us or an exchange of stock regarding the ADSs or the deposited securities or a distribution of ADSs), whichever is applicable: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fee of up to U.S.$0.05 per ADS held for any cash distribution made, or for any elective cash/stock dividend offered, pursuant to the deposit agreement; </w:t>
      </w:r>
      <w:r>
        <mc:AlternateContent>
          <mc:Choice Requires="wps">
            <w:drawing>
              <wp:anchor behindDoc="0" distT="7239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 </w:t>
      </w:r>
      <w:r>
        <mc:AlternateContent>
          <mc:Choice Requires="wps">
            <w:drawing>
              <wp:anchor behindDoc="0" distT="7239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for the reimbursement of such charges and expenses as are incurred by the depositary and/or any of its agents (including, without limitation, the custodian, as well as charges and expenses incurred on behalf of ADR holders in connection with compliance with foreign exchange control regulations or any law, rule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 </w:t>
      </w:r>
      <w:r>
        <mc:AlternateContent>
          <mc:Choice Requires="wps">
            <w:drawing>
              <wp:anchor behindDoc="0" distT="7239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fee of up to $0.05 per ADS held for the direct or indirect distribution of securities (other than ADSs or rights to purchase additional ADSs) or the net cash proceeds from the public or private sale of such securities, regardless of whether any such distribution and/or sale is made by, for, or received from, or (in each case) on behalf of, the depositary, us and/or any third party (which fee may be assessed against ADR holders as of a record date set by the depositary);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transfer or other taxes and other governmental charges;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transaction fee per cancellation request (including any cancellation request made through SWIFT, facsimile transmission or any other method of communication) as disclosed on the “Disclosures” page (or successor page) of www.adr.com (as updated by the depositary from time to time, “ADR.com”) and any applicable delivery expenses (which are payable by such persons or ADR holders);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 or registration fees for the registration of transfer of deposited securities on any applicable register in connection with the deposit or withdrawal of deposited securities; and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fees of any division, branch or affiliate of the depositary utilized by the depositary to direct, manage and/or execute any public and/or private sale of securities under the deposit agreement.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the administration of various depositary receipt transactions, including disbursement of dividends or other cash distributions and other corporate actions, the depositary may engage the foreign exchange desk within the banking division of JPMorgan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exchange rate applied to a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ADR holders or beneficial owners. </w:t>
      </w:r>
      <w:r>
        <w:rPr>
          <w:rFonts w:ascii="Times New Roman;Times;serif" w:hAnsi="Times New Roman;Times;serif"/>
          <w:b w:val="false"/>
          <w:i/>
          <w:caps w:val="false"/>
          <w:smallCaps w:val="false"/>
          <w:color w:val="000000"/>
          <w:spacing w:val="4"/>
          <w:sz w:val="20"/>
        </w:rPr>
        <w:t>The spread applied does not reflect any gains or losses that may be earned or incurred by the Bank and its affiliates as a result of risk management or other hedging related activity.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to the extent we provide U.S. dollars to the depositary, neither the Bank nor any of its affiliates will execute a foreign exchange transaction as set forth herein. In such case, the depositary will distribute the U.S. dollars received from us.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other fees, charges and expenses of the depositary and any agent of the depositary (except the custodian) pursuant to agreements from time to time between us and the depositary.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of the depositary to charge and receive payment of fees, charges and expenses survives the termination of the deposit agreement, and shall extend for those fees, charges and expenses incurred prior to the effectiveness of any resignation or removal of the depositary.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fees and charges described above may be amended from time to time by agreement between us and the depositary.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anticipates reimbursing us for certain expenses incurred by us that are related to the maintenance of the ADR program upon such terms and conditions as we and the depositary may agree from time to time. The depositary may make available to us a set amount or a portion of the depositary fees charged in respect of the ADR program or otherwise upon such terms and conditions as we and the depositary may agree from time to time. Under certain limited circumstances the depositary may also agree to reduce or waive certain fees that would normally be charged on ADSs issued to or at the director of, or otherwise held by, us and/or certain holders and beneficial owners and holders and beneficial owners of shares of ours.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of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ADR holders and/or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owed if the Circular Guoshuifa [2009] No. 82 issued by the Chinese State Administration of Taxation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severally, agree to indemnify, defend and save harmless each of the depositary and its agents in respect of such tax or other governmental charge. Notwithstanding the depositary’s right to seek payment from current or former ADR holders and beneficial owners, each ADR holder and beneficial owner, and each prior ADR holder and beneficial owner, by holding or owning, or having held or owned, an ADR or an interest in ADSs acknowledges and agrees that the depositary has no obligation to seek payment of amounts owing from any current or prior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ADRs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 Neither we nor the depositary nor any of our or its respective agents, shall be liable to ADR holders or beneficial owners of the ADSs for failure of any of them to comply with applicable tax laws, rules and/or regulations.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Reclassifications, Recapitalizations and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the form of ADR;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distribute additional or amended ADRs;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distribute cash, securities or other property it has received in connection with such actions;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by public or private sale any securities or property received and distribute the proceeds as cash; or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above.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does not choose any of the above options, any of the cash, securities or other property it receives will constitute part of the deposited securities and each ADS will then represent a proportionate interest in such property.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may the deposit agreement be amended?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agree with the depositary to amend the deposit agreement and the ADSs without your consent for any reason. ADR holders must be given at least thirty (30) days’ notice of any amendment that imposes or increases any fees on a per ADS basis, charges or expenses (other than stock transfer or other taxes and other governmental charges, transfer or registration fees, a transaction fee per cancellation request (including any cancellation request made through SWIFT, facsimile transmission or any other method of communication), applicable delivery expenses or other such fees, charges or expenses), or otherwise prejudices any substantial existing right of ADR holders or beneficial owners. Such notice need not describe in detail the specific amendments effectuated thereby, but must identify to ADR holders and beneficial owners a means to access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text of such amendment. If an ADR holder or beneficial owner continues to hold an ADR or ADRs, or an interest therein,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amendments or supplements that (i) are reasonably necessary (as agreed by us and the depositary) in order for (a) the ADSs to be registered on Form F-6 under the Securities Act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that would require amendment or supplement of the deposit agreement or the form of ADR to ensure compliance therewith, we and the depositary may amend or supplement the deposit agreement and the form of ADR (and all outstanding ADRs)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upon retrieval from the SEC’s, the depositary’s or our website or upon request from the depositary).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may the deposit agreement be terminated?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at any time, and shall at our written direction, terminate the deposit agreement and the ADRs by mailing notice of such termination to the registered holders of ADRs at least thirty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sixty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60th day after our notice of removal was first provided to the depositary. Notwithstanding anything to the contrary in the deposit agreement, the depositary may terminate the deposit agreement (a) without notifying us, but subject to giving thirty (30) days’ notice to the ADR holders, under the following circumstances: (i) in the event of our bankruptcy, liquidation proceedings or insolvency, (ii) if the ADRs are delisted from a “national securities exchange” ​(that has registered with the Commission under Section 6 of the Securities Exchange Act of 1934), (iii) if we effect (or will effect) a redemption of all or substantially all of the deposited securities, or a cash or share distribution representing a return of all or substantially all of the value of the deposited securities, (iv) there are no deposited securities with respect to ADSs remaining, including if the deposited securities are cancelled, or the deposit securities have been deemed to have no value, or (v) there occurs a merger, consolidation, sale of assets or other transaction as a result of which securities or other property are delivered in exchange for or in lieu of deposited securities, and (b) immediately without prior notice to the Company, any ADR holder or beneficial owner or any other person if (i) required by any law, rule or regulation relating to sanctions by any governmental authority or body, (ii) the depositary would be subject to liability under or pursuant to any law, rule or regulation, or (iii) required by any governmental authority or body, in each case under (b) as determined by the depositary in its reasonable discretion.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shares are not listed and publicly traded on a stock exchange or in a securities market as of the date so fixed for termination or if, for any reason, the depositary does not sell the deposited securities, then after such date fixed for termination, the depositary shall use its reasonable efforts to ensure that the ADSs cease to be eligible for settlement within The Depository Trust Company (DTC) and that neither DTC nor any of its nominees shall thereafter be an ADR holder. At such time as the ADSs cease to be DTC eligible and/or neither DTC nor any of its nominees is an ADR holder, to the extent we are not, to the depositary’s knowledge,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insolvent or in bankruptcy or liquidation, the depositary shall (A) cancel all outstanding ADRs; (B) request DTC to provide the depositary with information on those holding ADSs through DTC and, upon receipt thereof, revise the ADR register to reflect the information provided by DTC; (C) instruct its custodian to deliver all deposited securities to us, a subsidiary or affiliate of ours (the company representative) or an independent trust company engaged by us (the trustee) to hold those deposited securities in trust for the beneficial owners of the ADRs if we are not permitted to hold any of the deposited securities under applicable law and/or we have directed the depositary to deliver such deposited securities to the company representative or trustee along with a stock transfer form and/or such other instruments of transfer covering such deposited securities as are needed under applicable law, in either case referring to the names set forth on the ADR register and (D) provide us with a copy of the ADR register.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any instrument of transfer covering such deposited securities, any applicable share certificate or indemnity for lost share certificate and the ADR Register, we have agreed that we will, approve the transfer of the deposited securities previously represented by the ADSs evidenced by their ADRs the persons listed on the ADR register (as applicable), procure the relevant updates to the register of members of the Company to reflect the transfer of the deposited securities previously represented by their ADRs to the persons listed on the ADR register (as applicable) and provide the depositary with a certified copy of the updated register of our shareholders.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the depositary reasonably believes that we are insolvent, or if we are in receivership, have filed for bankruptcy and/or are otherwise in restructuring, administration or liquidation, and in any such case the deposited securities are not listed and publicly traded on a securities exchange after the termination date, or if, for any reason, the depositary believes it is not able to or cannot practicably sell the deposited securities promptly and without undue effort, the deposited securities shall be deemed to have no value (and such holder shall be deemed to have instructed the depositary that the deposited securities have no value). The depositary may (and, by holding an ADR or an interest therein, all holders irrevocably consent and agree that the depositary may) instruct its custodian to deliver all deposited securities to us (acting, as applicable by an administrator, receiver, administrative receiver, liquidator, provisional liquidator, restructuring officer, interim restructuring officer, trustee, controller or other entity overseeing the bankruptcy, insolvency, administration, restructuring or liquidation process) and notify us that the deposited shares are surrendered for no consideration. The deposit agreement requires us, subject to applicable law, to promptly accept the surrender of the deposited shares for no consideration and deliver to the depositary a written notice confirming (A) the acceptance of the surrender of the deposited securities for no consideration and (B) the cancellation of such deposited shares. Promptly after notifying us that the deposited shares are surrendered for no consideration and irrespective of whether we haves complied with the immediately preceding sentence, the depositary shall notify ADR holders that their ADSs have been cancelled with no consideration being payable to such ADR 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depositary’s compliance with the provisions of any of the above three paragraphs, the depositary and its agents shall be discharged from all, and cease to have any, obligations under the deposit agreement and the ADRs.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shares are listed and publicly traded on a securities exchange and the depositary believes that it is able, permissible and practicable to sell the deposited securities without undue effort, then the depositary may endeavor to publicly or privately sell (as long as it may lawfully do so) the deposited securities, which sale may be effected in a block sale/single lot transaction and, after the settlement of such sale(s), to the extent legally permissible and practicable, distribute or hold in an account (which may be a segregated or unsegregated account) the net proceeds of such sale(s), less any amounts owing to the depositary (including, without limitation, cancellation fees), together with any other cash then held by it under the deposit agreement, in trust, without liability for interest, for the pro rata benefit of the holders entitled thereto. After making such sale, the depositary shall be discharged from all obligations in respect of the deposit agreement and the ADRs, except to account for such net proceeds and other cash.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at its discretion, of the fees, charges and expenses provided for under the deposit agreement and the fees, charges and expenses applicable to the unsponsored American depositary share program.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Obligations and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Limits on our obligations and the obligations of the depositary; limits on liability to ADR holders, beneficial owners and others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 </w:t>
      </w:r>
      <w:r>
        <mc:AlternateContent>
          <mc:Choice Requires="wps">
            <w:drawing>
              <wp:anchor behindDoc="0" distT="723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 </w:t>
      </w:r>
      <w:r>
        <mc:AlternateContent>
          <mc:Choice Requires="wps">
            <w:drawing>
              <wp:anchor behindDoc="0" distT="7239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such regulations as the depositary may establish consistent with the deposit agreement or as the depositary believes are required, necessary or advisable in order to comply with applicable laws, rules and regulations. </w:t>
      </w:r>
      <w:r>
        <mc:AlternateContent>
          <mc:Choice Requires="wps">
            <w:drawing>
              <wp:anchor behindDoc="0" distT="7239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required, necessary or advisable by the depositary for any reason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 The depositary may close the ADR register (and/or any portion thereof) at any time or from time to time when deemed expedient by it.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expressly limits the obligations and liability of the depositary, the depositary’s custodian or ourselves and each of our and their respective directors, officers, employees, agents and affiliates, provided, however, that no provision of the deposit agreement is intended to constitute a waiver or limitation of any rights that ADR holders or beneficial owners may have under the Securities Act or the Securities Exchange Act of 1934, to the extent applicable. The deposit agreement provides that each of us, the depositary and our respective directors, officers, employees, agents and affiliates will: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or assume no liability (including, without limitation, to ADR holders or beneficial owners) if any present or future law, rule, regulation, fiat, order or decree of the United States, the Cayman Islands, Singapore, the People’s Republic of China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epidemic, pandemic, nationalization, expropriation, currency restrictions, extraordinary market conditions, work stoppage, strike, civil unrest, revolutions, rebellions, explosions, cyber, ransomware or malware attack, computer failure or circumstance our, the depositary’s or our respective directors’, officers’, employees’, agents’ or affiliates’ direct and immediate control shall prevent or delay, or shall cause any of them to be subject to any civil or criminal penalty in connection with, any act which the deposit agreement or the ADRs provide shall be done or performed by any such party (including, without limitation, voting); </w:t>
      </w:r>
      <w:r>
        <mc:AlternateContent>
          <mc:Choice Requires="wps">
            <w:drawing>
              <wp:anchor behindDoc="0" distT="7239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or assume no liability (including, without limitation, to ADR holders or beneficial owners) by reason of any non-performance or delay, caused as aforesaid, in the performance of any act or things </w:t>
      </w:r>
      <w:r>
        <mc:AlternateContent>
          <mc:Choice Requires="wps">
            <w:drawing>
              <wp:anchor behindDoc="0" distT="7366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depositary and its agents, incur or assume no liability (including, without limitation, to holders or beneficial owners) if it performs its obligations specifically set forth in the deposit agreement and ADRs without gross negligence or willful misconduct;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depositary and its agents, be under no obligation to appear in, prosecute or defend any action, suit or other proceeding in respect of any deposited securities the ADSs or the ADRs;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us and our agents, be under no obligation to appear in, prosecute or defend any action, suit or other proceeding in respect of any deposited securities the ADSs or the ADRs, which in our or our agents’ opinion, as the case may be, may involve us in expense or liability, unless indemnity satisfactory to us or our agent, as the case may be against all expense (including fees and disbursements of counsel) and liability is furnished as often as may be requested;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be liable (including, without limitation, to ADR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from us provided that the foregoing shall not apply to our indemnification obligations under the deposit agreement; or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rely and shall be protected in acting upon any written notice, request, direction, instruction or document believed by it to be genuine and to have been signed, presented or given by the proper party or parties.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shall not be a fiduciary or have any fiduciary duty to ADR holders or beneficial owners.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our security holders. Although the depositary and the custodian will use reasonable care (and cause their agents to use reasonable care) in the selection and retention of such third-party providers and local agents, they will not be responsible for any errors or omissions made by them in providing the relevant information or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no obligation to inform ADR holders or beneficial owners about the requirements of the laws, rules or regulations or any changes therein or thereto of the Cayman Islands, Singapore, the People’s Republic of China , the United States or any other country or jurisdiction or of any governmental or regulatory authority or any securities exchange or market or automated quotation system.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none of the depositary, the custodian or us, or any of their or our respective directors, officers, employees, agents or affiliates shall be liable for the failure by any registered holder of ADRs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 to obtain the benefits of credits or refunds of non-U.S. tax paid against such ADR holder’s or beneficial owner’s income tax liability. The depositary is under no obligation to provide the ADR holders and beneficial owners, or any of them, with any information about our tax status. None of us, the depositary, the custodian or any of our or their respective directors, officers, employees, agents or affiliates shall incur any liability for any tax or tax consequences that may be incurred by registered ADR holders or beneficial owners on account of their ownership or disposition of ADRs or ADSs.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depositary nor its agents will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pursuant to the terms of the deposit agreement, or for the effect of any such vote. The depositary shall endeavor to effect any sale of securities or other property and any conversion of currency, securities or other property, in each case as is referred to or contemplated in the deposit agreement or the form of ADR, in accordance with the depositary’s normal practices and procedures under the circumstances applicable to such sale or conversion, but shall have no liability (in the absence of its own willful default or gross negligence or that of its agents, officers, directors or employees) with respect to the terms of any such sale or conversion, including the price at which such sale or conversion is effected, or if such sale or conversion shall not be practicable, or shall not be believed, deemed or determined to be practicable by the depositary. Specifically, the depositary shall not have any liability for the price received in connection with any public or private sale of securities (including, without limitation, for any sale made at a nominal price), the timing thereof or any delay in action or omission to act nor shall it be responsible for any error or delay in action, omission to act, default or negligence on the part of the party so retained in connection with any such sale or proposed sale. The depositary shall not incur any liability in connection with or arising from any failure, inability or refusal by us or any other party, including any share registrar, transfer agent or other agent appointed by us or the depositary or any other party, to process any transfer, delivery or distribution of cash, shares, other securities or other property, including without limitation upon the termination of the deposit agreement, or otherwise to comply with any provisions of the deposit agreement that are applicable to it.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ADR holders or beneficial owners), whether or not foreseeable and regardless of the type of action in which such a claim may be brought.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or the Securities Exchange Act of 1934, to the extent applicable.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and its agents may own and deal in any class of securities of our company and our affiliates and in ADSs.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Disclosure of Interest in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the provisions of or governing any deposited securities may require disclosure of or impose limits on beneficial or other ownership of, or interest in, deposited securities, other shares and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Books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(and/or any portion thereof) may be closed at any time or from time to time, when deemed expedient by the depositary.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maintain facilities for the delivery and receipt of ADRs.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deposit agreement, each registered holder of ADRs and each beneficial owner, upon acceptance of any ADSs or ADRs (or any interest in any of them) issued in accordance with the terms and conditions of the deposit agreement will be deemed for all purposes to: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a party to and bound by the terms of the deposit agreement and the applicable ADR or ADRs, </w:t>
      </w:r>
      <w:r>
        <mc:AlternateContent>
          <mc:Choice Requires="wps">
            <w:drawing>
              <wp:anchor behindDoc="0" distT="889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and </w:t>
      </w:r>
      <w:r>
        <mc:AlternateContent>
          <mc:Choice Requires="wps">
            <w:drawing>
              <wp:anchor behindDoc="0" distT="889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ADR holders, or beneficial owners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 </w:t>
      </w:r>
      <w:r>
        <mc:AlternateContent>
          <mc:Choice Requires="wps">
            <w:drawing>
              <wp:anchor behindDoc="0" distT="889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Consent to Jurisdiction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deposit agreement, we have submitted to the non-exclusive jurisdiction of the state and federal courts in New York, New York and appointed an agent for service of process on our behalf. Any action based on the deposit agreement, the ADSs, the ADRs or the transactions contemplated therein or thereby may also be instituted by the depositary against us in any competent court in the Cayman Islands, Singapore, the People’s Republic of China, the United States and/or any other court of competent jurisdiction.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deposit agreement, by holding or owning an ADR or ADS or an interest therein, holders and beneficial owners each irrevocably agree that (i) any legal suit, action or proceeding against or involving holders or beneficial owners brought by us or the depositary, arising out of or based upon the deposit agreement, the ADSs, the ADRs or the transactions contemplated therein or thereby, may be instituted in a state or federal court in New York, New York, and by holding or owning an ADR or ADS or an interest therein each irrevocably waives any objection that it may now or hereafter have to the laying of venue of any such proceeding, and irrevocably submits to the non-exclusive jurisdiction of such courts in any such suit, action or proceeding and (ii) any legal suit, action or proceeding against or involving us and/or the depositary brought by holders or beneficial owners, arising out of or based upon the deposit agreement, the ADSs, the ADRs or the transactions contemplated therein or thereby, including, without limitation, claims under the Securities Act of 1933, may be instituted only in the United States District Court for the Southern District of New York (or in the state courts of New York County in New York if either (a) the United States District Court for the Southern District of New York lacks subject matter jurisdiction over a particular dispute or (b) the designation of the United States District Court for the Southern District of New York as the exclusive forum for any particular dispute is, or becomes, invalid, illegal or unenforceable). In the deposit agreement each holder and beneficial owner irrevocably waives any objection which it may at any time have to the laying of venue of any such proceeding, and irrevocably submits to the jurisdiction of such courts in any such suit, action or proceeding.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in the deposit agreement to the contrary, by directly or indirectly holding or owing an ADR or ADS or an interest therein, holders and beneficial owners each agree that: (i) the depositary may, in its sole discretion, elect to institute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by having such dispute referred to and finally resolved by an arbitration.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In all cases, the fees of the arbitrators and other costs incurred by the parties in connection with such arbitration shall be paid by the party (or parties) that is (or are) unsuccessful in such arbitration. Holders and beneficial owners shall not be entitled to join or consolidate disputes by or against others in any arbitration, or to include in any arbitration any dispute as a representative or member of a class, or act in any arbitration in the interest of the general public or in a private attorney general capacity.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Jury Trial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based on or relating in any way to the shares or other deposited securities, the ADSs or the ADRs, the deposit agreement or any transaction contemplated therein, or the breach thereof (whether based on contract, tort, common law or any other theory), including any claim under the U.S. federal securities 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our or the depositary’s compliance with the U.S. federal securities laws and the rules and regulations promulgated thereunder.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P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PREFERRED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particular terms of each issue or series of preferred shares will be described in the related prospectus supplement. This description will include, where applicable, a description of: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nominal value of the preferred shares; </w:t>
      </w:r>
      <w:r>
        <mc:AlternateContent>
          <mc:Choice Requires="wps">
            <w:drawing>
              <wp:anchor behindDoc="0" distT="7874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preferred shares we are offering; </w:t>
      </w:r>
      <w:r>
        <mc:AlternateContent>
          <mc:Choice Requires="wps">
            <w:drawing>
              <wp:anchor behindDoc="0" distT="7874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liquidation preference per preferred share, if any; </w:t>
      </w:r>
      <w:r>
        <mc:AlternateContent>
          <mc:Choice Requires="wps">
            <w:drawing>
              <wp:anchor behindDoc="0" distT="7874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 price per preferred share (or if applicable, the calculation formula of the issue price per preferred share); </w:t>
      </w:r>
      <w:r>
        <mc:AlternateContent>
          <mc:Choice Requires="wps">
            <w:drawing>
              <wp:anchor behindDoc="0" distT="7874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preferential subscription rights will be issued to existing shareholders; </w:t>
      </w:r>
      <w:r>
        <mc:AlternateContent>
          <mc:Choice Requires="wps">
            <w:drawing>
              <wp:anchor behindDoc="0" distT="7874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per preferred share, dividend period and payment dates and method of calculation for dividends; </w:t>
      </w:r>
      <w:r>
        <mc:AlternateContent>
          <mc:Choice Requires="wps">
            <w:drawing>
              <wp:anchor behindDoc="0" distT="7874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dividends will be cumulative or non-cumulative and, if cumulative, the date from which dividends will accumulate; </w:t>
      </w:r>
      <w:r>
        <mc:AlternateContent>
          <mc:Choice Requires="wps">
            <w:drawing>
              <wp:anchor behindDoc="0" distT="787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 if any, to defer payment of dividends and the maximum length of any such deferral period;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relative ranking and preferences of the preferred shares as to dividend rights (preferred dividend if any) and rights if we liquidate, dissolve or wind up the Company; </w:t>
      </w:r>
      <w:r>
        <mc:AlternateContent>
          <mc:Choice Requires="wps">
            <w:drawing>
              <wp:anchor behindDoc="0" distT="7874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for any auction and remarketing, if any; </w:t>
      </w:r>
      <w:r>
        <mc:AlternateContent>
          <mc:Choice Requires="wps">
            <w:drawing>
              <wp:anchor behindDoc="0" distT="7874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redemption or repurchase, if applicable, and any restrictions on our ability to exercise those redemption and repurchase rights; </w:t>
      </w:r>
      <w:r>
        <mc:AlternateContent>
          <mc:Choice Requires="wps">
            <w:drawing>
              <wp:anchor behindDoc="0" distT="7874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listing of the preferred shares on any securities exchange or market; </w:t>
      </w:r>
      <w:r>
        <mc:AlternateContent>
          <mc:Choice Requires="wps">
            <w:drawing>
              <wp:anchor behindDoc="0" distT="7874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shares will be convertible into our ordinary shares (including ordinary shares represented by ADSs) or preferred shares of another category, and, if applicable, conditions of an automatic conversion into ordinary shares (including ordinary shares represented by ADSs), if any, the conversion period, the conversion price, or how such price will be calculated, and under what circumstances it may be adjusted; </w:t>
      </w:r>
      <w:r>
        <mc:AlternateContent>
          <mc:Choice Requires="wps">
            <w:drawing>
              <wp:anchor behindDoc="0" distT="7874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if any, of the preferred shares; </w:t>
      </w:r>
      <w:r>
        <mc:AlternateContent>
          <mc:Choice Requires="wps">
            <w:drawing>
              <wp:anchor behindDoc="0" distT="7874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preemption rights, if any; </w:t>
      </w:r>
      <w:r>
        <mc:AlternateContent>
          <mc:Choice Requires="wps">
            <w:drawing>
              <wp:anchor behindDoc="0" distT="7874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restrictions on transfer, sale or assignment, if any; </w:t>
      </w:r>
      <w:r>
        <mc:AlternateContent>
          <mc:Choice Requires="wps">
            <w:drawing>
              <wp:anchor behindDoc="0" distT="7874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interests in the preferred shares will be represented by depositary shares; </w:t>
      </w:r>
      <w:r>
        <mc:AlternateContent>
          <mc:Choice Requires="wps">
            <w:drawing>
              <wp:anchor behindDoc="0" distT="7874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or special Cayman Islands or United States federal income tax considerations applicable to the preferred shares; </w:t>
      </w:r>
      <w:r>
        <mc:AlternateContent>
          <mc:Choice Requires="wps">
            <w:drawing>
              <wp:anchor behindDoc="0" distT="787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limitations on issuances of any class or series of preferred shares ranking senior to or on a parity with the series of preferred shares being issued as to dividend rights and rights if we liquidate, dissolve or wind up our affairs; </w:t>
      </w:r>
      <w:r>
        <mc:AlternateContent>
          <mc:Choice Requires="wps">
            <w:drawing>
              <wp:anchor behindDoc="0" distT="7747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rights attached to the preferred shares regarding the corporate governance of our company, which may include, for example representation rights to the board of directors; and </w:t>
      </w:r>
      <w:r>
        <mc:AlternateContent>
          <mc:Choice Requires="wps">
            <w:drawing>
              <wp:anchor behindDoc="0" distT="7747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rights, preferences, privileges, qualifications or restrictions of the preferred shares. </w:t>
      </w:r>
      <w:r>
        <mc:AlternateContent>
          <mc:Choice Requires="wps">
            <w:drawing>
              <wp:anchor behindDoc="0" distT="7747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cause the Company to issue from time to time, out of the authorized share capital of the Company (other than the authorized but unissued ordinary shares), series of preferred shares in their absolute discretion and without approval of the shareholders; provided, however, before any preferred shares of any such series are issued, our board of directors shall by resolution of directors determine, with respect to any series of preferred shares, the terms and rights of that series.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issue preferred shares under this prospectus and the applicable prospectus supplement, the shares will be fully paid and non-assessable and will not have, or be subject to, any preemptive or similar rights.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preferred shares could adversely affect the voting power of holders of ordinary shares and ADSs and reduce the likelihood that holders of ordinary shares and ADSs will receive dividend payments and payments upon liquidation. The issuance could have the effect of decreasing the market price of our ADSs. The issuance of preferred shares also could have the effect of delaying, deterring or preventing a change in control of our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OW"/>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provisions of the warrants does not purport to be complete and is subject to, and qualified in its entirety by reference to, the provisions of the warrant agreement that will be filed with the SEC in connection with the offering of such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to purchase ordinary shares, including ordinary shares that may be deposited for delivery of ADSs.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following terms of any warrants in respect of which this prospectus is being delivered: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such warrants;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such warrants;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such warrants will be issued and exercised;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in which the price of such warrants will be payable;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purchasable upon exercise of such warrants;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warrants shall commence and the date on which such right shall expire;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such warrants which may be exercised at any one time;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securities with which such warrants are issued and the number of such warrants issued with each such security;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such warrants and the related securities will be separately transferable;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material Cayman Islands or United States federal income tax consequences;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antidilution provisions of the warrants, if any; and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warrants, including terms, procedures and limitations relating to the exchange and exercise of such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and Supplements to Warrant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ODS"/>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which may or may not be converted into our ordinary shares. We may issue the debt securities independently or together with any underlying securities, and debt securities may be attached or separate from the underlying securities. In connection with the issuance of any debt securities, we do not intend to issue them pursuant to a trust indenture upon reliance of Section 304(a)(8) of the Trust Indenture Act and Rule 4a-1 promulgated thereunder.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warrants. See “Where You Can Find More Information About Us” and “Incorporation of Documents by Reference” below for information on how to obtain a copy of a debt securities document when it is filed.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a series of debt securities, we mean all debt securities issued as part of the same series under the applicable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information incorporated by reference, or free writing prospectus, may describe the terms of any debt securities that we may offer, including, but not limited to,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amount of the debt securities;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or amounts of the debt securities will be issued and interest rate;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conversion price at which the debt securities may be converted;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convert the debt securities will commence and the date on which the right will expire;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debt securities that may be converted at any one time;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material federal income tax consideration;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terms of the payoff of the debt securities;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the indenture agent, if any;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and conditions relating to the conversion of the debt securities; and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including terms, procedure and limitation relating to the exchange or conversion of the debt securities.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Exchange,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debt securities in registered form or bearer form. Debt securities issued in registered form, i.e., book-entry form, will be represented by a global security registered in the name of a depository,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 In addition, we may issue debt securities in non-global form, i.e., bearer form. If any debt securities are issued in non-global form, debt securities certificates may be exchanged for new debt securities certificates of different denominations, and holders may exchange, transfer, or convert their debt securities at the debt securities agent’s office or any other office indicated in the applicable prospectus supplement, information incorporated by reference or free writing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conversion of their debt securities, holders of debt securities convertible for ordinary shares will not have any rights of holders of ordinary shares, and will not be entitled to dividend payments, if any, or voting rights of the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debt security may entitle the holder to purchase, in exchange for the extinguishment of debt, an amount of securities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DOSR"/>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subscription rights to purchase ordinary shares, including ordinary shares represented by ADSs.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following terms of subscription rights in respect of which this prospectus is being delivered: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such subscription rights; </w:t>
      </w:r>
      <w:r>
        <mc:AlternateContent>
          <mc:Choice Requires="wps">
            <w:drawing>
              <wp:anchor behindDoc="0" distT="7239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for which such subscription rights are exercisable; </w:t>
      </w:r>
      <w:r>
        <mc:AlternateContent>
          <mc:Choice Requires="wps">
            <w:drawing>
              <wp:anchor behindDoc="0" distT="7239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for such subscription rights; </w:t>
      </w:r>
      <w:r>
        <mc:AlternateContent>
          <mc:Choice Requires="wps">
            <w:drawing>
              <wp:anchor behindDoc="0" distT="7239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such subscription rights issued to each shareholder; </w:t>
      </w:r>
      <w:r>
        <mc:AlternateContent>
          <mc:Choice Requires="wps">
            <w:drawing>
              <wp:anchor behindDoc="0" distT="7239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such subscription rights are transferable; </w:t>
      </w:r>
      <w:r>
        <mc:AlternateContent>
          <mc:Choice Requires="wps">
            <w:drawing>
              <wp:anchor behindDoc="0" distT="7239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the material Cayman Islands or United States federal income tax considerations applicable to the issuance or exercise of such subscription rights; </w:t>
      </w:r>
      <w:r>
        <mc:AlternateContent>
          <mc:Choice Requires="wps">
            <w:drawing>
              <wp:anchor behindDoc="0" distT="7239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subscription rights shall commence, and the date on which such rights shall expire (subject to any extension); </w:t>
      </w:r>
      <w:r>
        <mc:AlternateContent>
          <mc:Choice Requires="wps">
            <w:drawing>
              <wp:anchor behindDoc="0" distT="7239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such subscription rights include an over-subscription privilege with respect to unsubscribed securities; </w:t>
      </w:r>
      <w:r>
        <mc:AlternateContent>
          <mc:Choice Requires="wps">
            <w:drawing>
              <wp:anchor behindDoc="0" distT="7239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material terms of any standby underwriting or other purchase arrangement that we may enter into in connection with the subscription rights offering; and </w:t>
      </w:r>
      <w:r>
        <mc:AlternateContent>
          <mc:Choice Requires="wps">
            <w:drawing>
              <wp:anchor behindDoc="0" distT="7239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subscription rights, including terms, procedures and limitations relating to the exchange and exercise of such subscription rights.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including whether and under what circumstances those securities may be held or transferred separately;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unit agreement under which the units will be issued;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the issuance, payment, settlement, transfer or exchange of the units or of the securities comprising the units; and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units will be issued in fully registered or global form.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OU"/>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including whether and under what circumstances those securities may be held or transferred separately;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unit agreement under which the units will be issued;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the issuance, payment, settlement, transfer or exchange of the units or of the securities comprising the units; and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units will be issued in fully registered or global form.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EOCL"/>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CIVIL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Most of our operations are conducted in China, and most of our assets are located in China. In addition, most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in United States courts judgments obtained in United States courts based on the civil liability provisions of the United States federal securities laws against us and our officers and directors.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appointed Cogency Global Inc. as our agent to receive service of process with respect to any action brought against us in the U.S. District Court for the Southern District of New York under the federal securities laws of the U.S. or of any state in the U.S. or any action brought against us in the Supreme Court of the State of New York in the County of New York under the securities laws of the State of New York.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Maples and Calder (Hong Kong) LLP, our counsel as to Cayman Islands law, has advised us that the courts of the Cayman Islands are unlikely (1) to recognize or enforce judgments of U.S. courts obtained against us or our directors or officers that are predicated upon the civil liability provisions of the federal securities laws of the United States or the securities laws of any state in the United States, or (2) in original actions brought in the Cayman Islands to impose liabilities against us or our directors or officers that are predicated upon the federal securities laws of the United States or the securities laws of any state in the United States so far as the liabilities imposed by those provisions are penal in nature.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Maples and Calder (Hong Kong) LLP has advised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and conclusive, (iv) is not in respect of taxes, a fine or a penalty, (v) is not inconsistent with a Cayman Islands judgment in respect of the same matter, and (vi) is not impeachable on the grounds of fraud and was not obtained in a manner and is not of a kind the enforcement of which is contrary to natural justice or the public policy of the Cayman Islands. A Cayman Islands court may stay enforcement proceedings if concurrent proceedings are being brought elsewhere.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Commerce &amp; Finance Law Offices, our PRC legal adviser, has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Commerce &amp; Finance Law Offices has advised us further that under PRC law, courts in the PRC will not recognize or enforce a foreign judgment against us or our directors and officers if they decide that the judgment violates the basic principles of PRC law or national sovereignty, security or social public interest. As there existed no treaty or other form of reciprocity between China and the United States governing the recognition and enforcement of judgments as of the date of this prospectus, including those predicated upon the liability provisions of the United States federal securities laws, there is uncertainty whether and on what basis a PRC court would enforce judgments rendered by United States courts. In addition, because there is no treaty or other form of reciprocity between the Cayman Islands and China governing the recognition and enforcement of judgments as of the date of this prospectus, there is further uncertainty as to whether and on what basis a PRC court would enforce judgments rendered by a Cayman Islands court.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TAX"/>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Certain income tax considerations relating to the purchase, ownership and disposition of any of the securities other than ADS and ordinary shares offered by this prospectus will be set forth in the applicable prospectus supplement relating to the offering of those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Tax Considerations Relevant to an investment in the ADS and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summaries of certain material Cayman Islands, People’s Republic of China and United States federal income tax consequences relevant to an investment in the ADSs and ordinary shares. The discussion is not intended to be, nor should it be construed as, legal or tax advice to any particular prospective purchaser or holder. The discussion is based on laws and relevant interpretations thereof in effect as of the date of this prospectus,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own tax advisors with respect to the consequences of acquisition, ownership and disposition of the ADSs and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Cayman Islands 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Such section is the opinion of Maples and Calder (Hong Kong) LLP, our Cayman Islands counsel, insofar as it relates to legal conclusions with respect to matters of Cayman Islands tax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Islands currently levies no taxes on individuals or corporations based upon profits, income, gains or appreciations and there is no taxation in the nature of inheritance tax or estate duty or withholding tax applicable to us or to any holder of the ADSs and ordinary shares. There are no other taxes likely to be material to us levied by the government of the Cayman Islands except for stamp duties which may be applicable on instruments executed in, or after execution brought within the jurisdiction of, the Cayman Islands. Payments of dividends and capital in respect of the ADSs and ordinary shares will not be subject to taxation in the Cayman Islands and no withholding will be required on the payment of a dividend or capital to any holder of the ADSs and ordinary shares, nor will gains derived from the disposal of the ADSs and ordinary shares be subject to Cayman Islands income or corporation tax. There are no exchange control regulations or currency restrictions in the Cayman Islands.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People’s Republic of China 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Such section is the opinion of Commerce &amp; Finance Law Offices, our PRC counsel, insofar as it relates to legal conclusions with respect to matters of PRC tax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2007, the National People’s Congress of China enacted the Enterprise Income Tax Law, which became effective on January 1, 2008 and was last revised on December 29, 2018. The Enterprise Income Tax Law provides that enterprises organized under the laws of jurisdictions outside China with their “de facto management bodies” located within China may be considered PRC resident enterprises and therefore subject to PRC enterprise income tax at the rate of 25% on their worldwide income. The Implementing Rules of the Enterprise Income Tax Law further define the term “de facto management body” as the management body that exercises substantial and overall management and control over the business, personnel, accounts and properties of an enterprise. While we do not consider our company or any of our overseas subsidiaries to be a PRC resident enterprise, there is a risk that the PRC tax authorities may deem our company or any of our overseas subsidiaries as a PRC resident enterprise since a substantial majority of the members of our management team as well as the management team of some of our overseas subsidiaries are located in China, in which case we or the overseas subsidiaries, as the case may be, would be subject to the PRC enterprise income tax at the rate of 25% on worldwide income. If the PRC tax authorities determine that our Cayman Islands holding company is a “resident enterprise” for PRC enterprise income tax purposes, a 10% withholding tax would be imposed on dividends we pay to our non-PRC enterprise shareholders and a 10% tax would be imposed with respect to gains derived by our non-PRC enterprise shareholders from transferring our shares or ADSs. Furthermore, dividends paid to individual investors who are non-PRC residents and any gain realized on the transfer of ADSs or ordinary shares by such investors may be subject to PRC tax at a rate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(which in the case of dividends may be withheld at source). Any PRC tax liability may be reduced by an applicable tax treaty. However, it is unclear whether, if we are considered a PRC resident enterprise, holders of our shares or ADSs would be able to claim the benefit of income tax treaties or agreements entered into between China and other countries or areas.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States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the material United States federal income tax consequences of the purchase, ownership and disposition of the ADSs and ordinary shares as of the date hereof. This discussion deals only with ADSs and ordinary shares that are held as “capital assets” ​(generally, property held for investment) within the meaning of Section 1221 of the U.S. Internal Revenue Code of 1986, as amended, or the Code, by a United States Holder (as defined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the term “United States Holder” means a beneficial owner of ADSs or ordinary shares that is, for United States federal income tax purposes, any of the following: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United States; </w:t>
      </w:r>
      <w:r>
        <mc:AlternateContent>
          <mc:Choice Requires="wps">
            <w:drawing>
              <wp:anchor behindDoc="0" distT="7366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United States federal income tax purposes) created or organized in or under the laws of the United States, any state thereof or the District of Columbia; </w:t>
      </w:r>
      <w:r>
        <mc:AlternateContent>
          <mc:Choice Requires="wps">
            <w:drawing>
              <wp:anchor behindDoc="0" distT="7366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United States federal income taxation regardless of its source; or </w:t>
      </w:r>
      <w:r>
        <mc:AlternateContent>
          <mc:Choice Requires="wps">
            <w:drawing>
              <wp:anchor behindDoc="0" distT="7366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upon provisions of the Code and U.S. Treasury regulations, rulings and judicial decisions thereunder as of the date hereof. Such authorities may be replaced, revoked or modified, possibly with retroactive effect, and which replacement, revocation, or modification could significantly affect the tax consequences described below. In addition, this discussion is based, in part, upon representations made by the depositary to us and assumes that the deposit agreement, and all other related agreements, will be performed in accordance with their terms. We have not sought any ruling from the IRS with respect to the statements made and the conclusions reached in the following discussion and there can be no assurance that the IRS or a court will agree with our statements and conclusions.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represent a detailed description of all of the United States federal income tax consequences applicable to particular United States Holders in light of individual circumstances, including to United States Holders in special tax situations such as: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or dealer in stock, securities or currencies;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bank and certain other financial institutions;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regulated investment company;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real estate investment trust;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insurance company;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organization; </w:t>
      </w:r>
      <w:r>
        <mc:AlternateContent>
          <mc:Choice Requires="wps">
            <w:drawing>
              <wp:anchor behindDoc="0" distT="7366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holding the ADSs or ordinary shares as part of a hedging, integrated or conversion transaction, a constructive sale or a straddle;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has elected the mark-to-market method of accounting for our securities;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certain former citizen or resident of the United States subject to Section 877 of the Code;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entity subject to the United States anti-inversion rules;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liable for alternative minimum tax; </w:t>
      </w:r>
      <w:r>
        <mc:AlternateContent>
          <mc:Choice Requires="wps">
            <w:drawing>
              <wp:anchor behindDoc="0" distT="736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who owns or is deemed to own 10% or more of our total stock by vote or value; </w:t>
      </w:r>
      <w:r>
        <mc:AlternateContent>
          <mc:Choice Requires="wps">
            <w:drawing>
              <wp:anchor behindDoc="0" distT="0" distB="0" distL="254000" distR="0" simplePos="0" locked="0" layoutInCell="1" allowOverlap="1" relativeHeight="176">
                <wp:simplePos x="0" y="0"/>
                <wp:positionH relativeFrom="column">
                  <wp:align>left</wp:align>
                </wp:positionH>
                <wp:positionV relativeFrom="line">
                  <wp:posOffset>635</wp:posOffset>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partnership or other pass-through entity for United States federal income tax purposes, or persons holding ordinary shares through such entities; </w:t>
      </w:r>
      <w:r>
        <mc:AlternateContent>
          <mc:Choice Requires="wps">
            <w:drawing>
              <wp:anchor behindDoc="0" distT="7239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required to accelerate the recognition of any item of gross income with respect to the ADSs or ordinary shares as a result of such income being recognized on an applicable financial statement; </w:t>
      </w:r>
      <w:r>
        <mc:AlternateContent>
          <mc:Choice Requires="wps">
            <w:drawing>
              <wp:anchor behindDoc="0" distT="7239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holding the ADSs or ordinary shares in connection with a permanent establishment or fixed base outside the United States; or </w:t>
      </w:r>
      <w:r>
        <mc:AlternateContent>
          <mc:Choice Requires="wps">
            <w:drawing>
              <wp:anchor behindDoc="0" distT="7239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whose “functional currency” is not the United States dollar. </w:t>
      </w:r>
      <w:r>
        <mc:AlternateContent>
          <mc:Choice Requires="wps">
            <w:drawing>
              <wp:anchor behindDoc="0" distT="7239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treated as a partnership for United States federal income tax purposes) holds the ADSs or ordinary shares, the tax treatment of a partner in such partnership will generally depend upon the status of the partner and the activities of such partnership. If the United States Holder is a partner of a partnership holding the ADSs or ordinary shares, such United States Holder should consult its tax advisors regarding the tax consequences of investing in and holding our ADSs or ordinary shares.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does not contain a detailed description of all the United States federal income tax consequences to United States Holders and does not address the Medicare tax on net investment income, any tax consequences arising in respect of the Foreign Account Tax Compliance Act, United States federal estate and gift taxes or the effects of any state, local or non-United States tax laws. United States Holders should consult their tax advisors concerning the particular United States federal tax consequences of the purchase, ownership and disposition of our ADSs or ordinary shares, as well as any consequences arising under the laws of any other taxing jurisdiction.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United States Holder of our ADSs, for United States federal income tax purposes, should generally be treated as the owner of the underlying ordinary shares that are represented by such ADSs. Accordingly, deposits or withdrawals of ordinary shares for ADSs generally are not expected to be subject to United States federal income tax. The remainder of this discussion assumes that a United States Holder of the ADSs will be treated in this manner.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representing our ordinary shares and our company if, as a result of such actions, the holders of ADSs representing our ordinary shares are not properly treated as beneficial owners of the underlying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under “— Passive Foreign Investment Company” below, the gross amount of distributions on the ADSs or ordinary shares to a United States Holder (including any amounts withheld to reflect PRC withholding taxes, as discussed above under “— People’s Republic of China Taxation”) will be taxable as dividends to the extent paid out of our current or accumulated earnings and profits, as determined under United States federal income tax principles. To the extent that the amount of any distribution exceeds our current and accumulated earnings and profits for a taxable year, the distribution will first be treated as a tax-free return of capital to a United States Holder, causing a reduction in the tax basis of the ADSs or ordinary shares, and to the extent the amount of the distribution exceeds such United States Holder’s tax basis, the excess will be taxed as capital gain recognized on a sale or exchange. We do not, however, expect to determine our earnings and profits in accordance with United States federal income tax principles. Therefore, United States Holders should expect that any distribution paid will generally be treated as a dividend for United States federal income tax purposes. Such dividends will not be eligible for the dividends received deduction allowed to corporations under the Code.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non-corporate United States Holders, certain dividends received from a “qualified foreign corporation” may qualify for reduced rates of taxation applicable to “qualified dividend income”. A non-United States corporation (other than a corporation that is a PFIC for the taxable year in which the dividend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paid or the preceding taxable year) will generally be treated as a “qualified foreign corporation” ​(a) with respect to dividends paid by that corporation on shares (or ADSs backed by such shares) that are readily tradable on an established securities market in the United States or (b) if such non-United States corporation is eligible for the benefits of a qualifying income tax treaty with the United States that includes an exchange of information program.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 published IRS Notice, ordinary shares are considered to be readily tradable on an established securities market in the United States if they are listed on the Nasdaq Global Market, as our ADSs are. Thus, we believe, but cannot guarantee, that dividends we pay on the ADSs will meet the conditions required for these reduced tax rates. Since our ordinary shares are not listed on an established securities market in the United States, we do not believe that dividends that we pay on our ordinary shares that are not represented by ADSs currently meet the conditions required for these reduced tax rates. There also can be no assurance that the ADSs will be considered readily tradable on an established securities market in the United States in later years. A qualified foreign corporation also includes a foreign corporation that is eligible for the benefits of certain income tax treaties with the United States. In the event that we are deemed to be a PRC resident enterprise under the Enterprise Income Tax Law, we may be eligible for the benefits of the Agreement Between the Government of the United States of America and the Government of the People’s Republic of China for the Avoidance of Double Taxation and the Prevention of Tax Evasion With Respect to Taxes on Income, or the Treaty, and if we are eligible for such benefits, dividends we pay on our ordinary shares, regardless of whether such shares are represented by ADSs, would be eligible for reduced rates of taxation, subject to applicable limitations. See “— People’s Republic of China Taxation” for further information on the Enterprise Income Tax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dividends would be treated as paid by a qualified foreign corporation, a non-corporate United States Holder will not be eligible for reduced rates of taxation if it does not hold our ADSs for more than 60 days during the 121-day period beginning 60 days before the ex-dividend date (disregarding certain periods of ownership while the United States Holder’s risk of loss is diminished) or if such United States Holder elects to treat the dividend income as “investment income” pursuant to Section 163(d)(4) of the Code. In addition, the rate reduction will not apply to dividends of a qualified foreign corporation if the non-corporate United States Holder receiving such dividend is obligated to make related payments with respect to positions in substantially similar or related property. This disallowance applies even if the minimum holding period has been met. Non-corporate United States Holders will not be eligible for reduced rates of taxation on any dividends received from us if we are a passive foreign investment company in the taxable year in which such dividends are paid or in the preceding taxable year. See “— Passive Foreign Investment Company”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various limitations and disallowance rules that apply to foreign tax credits generally (including a minimum holding period requirement), any PRC withholding taxes on dividends may be treated as foreign taxes eligible for credit against a United States Holder’s United States federal income tax liability. For purposes of calculating the foreign tax credit, dividends paid on the ADSs or ordinary shares will be treated as income from sources outside the United States and will generally constitute passive category income. The rules governing the foreign tax credit are complex, and recently issued Treasury Regulations have introduced additional requirements and limitations to the foreign tax credit rules.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United States Holder should consult its tax advisors regarding the availability of the lower tax rates applicable to qualified dividend income for any dividends that we pay with respect to the ADSs or ordinary shares and the availability of any foreign tax credit, as well as the effect of any change in applicable law after the date of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Passive Foreign Investment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the market price of our ADSs, the value of our assets and the nature and composition of our income and assets, we do not believe that we were a PFIC for our taxable year ended December 31, 2025, although there can be no assurance in this regard. The IRS does not issue rulings with respect to PFIC status, and we cannot assure you that the IRS, or a court, will agree with any determination we make.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we will be a PFIC for any taxable year if, after applying the applicable look-through rules, either: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75% of our gross income is passive income; or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50% of the value of our assets (generally determined based on an average of the quarterly asset values for such year) is attributable to assets that produce or are held for the production of passive income. </w:t>
      </w:r>
      <w:r>
        <mc:AlternateContent>
          <mc:Choice Requires="wps">
            <w:drawing>
              <wp:anchor behindDoc="0" distT="0" distB="0" distL="254000" distR="0" simplePos="0" locked="0" layoutInCell="1" allowOverlap="1" relativeHeight="182">
                <wp:simplePos x="0" y="0"/>
                <wp:positionH relativeFrom="column">
                  <wp:align>left</wp:align>
                </wp:positionH>
                <wp:positionV relativeFrom="line">
                  <wp:posOffset>635</wp:posOffset>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this purpose, passive income generally includes dividends, interest, income equivalent to interest, royalties and rents (other than royalties and rents derived in the active conduct of a trade or business and not derived from a related person). Cash and cash equivalents, securities held for investment purposes and certain other similar assets are generally, and cryptocurrency balances are likely, treated as an asset that produces or is held for the production of passive income. If we own at least 25% (by value) of the stock of another corporation, for purposes of determining whether we are a PFIC, we generally will be treated as owning our proportionate share of the other corporation’s assets and receiving our proportionate share of the other corporation’s income.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determination of whether we are a PFIC is made annually. Accordingly, it is possible that we may become a PFIC in any future taxable year due to changes in our asset or income composition. Because we have valued our goodwill and other unbooked intangibles not reflected on our balance sheet based on the market value of the ADSs, a decrease in the price of the ADSs may also result in our becoming a PFIC. Furthermore, whether and to which extent our income and assets, including goodwill, will be characterized as active or passive will depend on various factors that are subject to uncertainty, including our future business plan and the application of laws that are subject to varying interpretation. For example, there is no authority that directly addresses the proper treatment of certain items of our income, such as income from cryptocurrency self-mining, hash rate sharing, or hosting for purposes of the PFIC rules and, although our company currently treats these items of income as active, such treatment is uncertain. Accordingly, there can be no assurances that we will not be a PFIC for any current or future taxable year, and our U.S. counsel expresses no opinion with respect to our PFIC status for any taxable year. If we are a PFIC for any taxable year during which a United States Holder holds the ADSs or ordinary shares, such United States Holder will be subject to special tax rules discussed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a PFIC for any taxable year during which a United States Holder holds the ADSs or ordinary shares, absent certain elections (including a mark-to-market election, a qualified electing fund election and a deemed sale election, each as described below), such United States Holder will be subject to special tax rules with respect to any “excess distribution” received and any gain realized from a sale or other disposition, including a pledge, of ADSs or ordinary shares. Distributions received in a taxable year will be treated as excess distributions to the extent that they are greater than 125% of the average annual distributions received during the shorter of the three preceding taxable years or a United States Holder’s holding period in our ADSs or ordinary shares. Under these special tax rules: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excess distribution and/or recognized gain will be allocated ratably over a United States Holder’s holding period for the ADSs or ordinary shares, </w:t>
      </w:r>
      <w:r>
        <mc:AlternateContent>
          <mc:Choice Requires="wps">
            <w:drawing>
              <wp:anchor behindDoc="0" distT="7493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the excess distribution and/or recognized gain allocated to the current taxable year, and any taxable year prior to the first taxable year in which we were a PFIC, will be treated as ordinary income, and </w:t>
      </w:r>
      <w:r>
        <mc:AlternateContent>
          <mc:Choice Requires="wps">
            <w:drawing>
              <wp:anchor behindDoc="0" distT="7493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the excess distribution and/or recognized gain allocated to each other taxable year will be subject to tax at the highest tax rate in effect for such year for individuals or corporations in the United States, as applicable, and the interest charge generally applicable to underpayments of tax will be imposed on the resulting tax attributable to each such year. </w:t>
      </w:r>
      <w:r>
        <mc:AlternateContent>
          <mc:Choice Requires="wps">
            <w:drawing>
              <wp:anchor behindDoc="0" distT="7493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liability for amounts allocated to years prior to the year of disposition or excess distribution cannot be offset by any net operating losses for such years, and gains (but not losses) from a sale or other disposition of the ADSs or ordinary shares cannot be treated as capital gains, even if a United States Holder holds the ADSs or ordinary shares as capital assets.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a PFIC with respect to a United States Holder for any taxable year during such United States Holder’s holding period for our ADSs or ordinary shares and any of our non-U.S. subsidiaries that are corporations (or other corporations in which we directly or indirectly own equity interests) is also a PFIC, such United States Holder would generally be treated as owning a proportionate amount (by value) of the shares of each such non-U.S. entity that is a PFIC (each such corporation, a lower tier PFIC) for purposes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application of these rules. United States Holders are strongly encouraged to consult their tax advisors regarding the application of the PFIC rules to any of our lower tier PFICs.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Deemed Sale Election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a PFIC for any taxable year in which a United States Holder holds the ADSs or ordinary shares (unless such United States Holder makes a valid mark-to-market election as discussed below), such United States Holder will generally be subject to the special tax rules described above for that year and for each subsequent year in which such United States Holder holds the ADSs or ordinary shares even if we cease to be a PFIC in such subsequent years. However, if we cease to be a PFIC, a United States Holder may avoid the continuing impact of the PFIC rules by making a “deemed sale” election to recognize gain as if such United States Holder’s ADSs or ordinary shares had been sold for their fair market value on the last day of the last taxable year during which we were a PFIC (“Shares Deemed Sold”) and any gain from such deemed sale would be taxed as an “excess distribution” as described above. Any loss from the deemed sale is not recognized. For purposes of applying the PFIC rules, a new holding period for the Shares Deemed Sold will start on the day after the date of the deemed sale. After the deemed sale election, the United States Holder’s ADSs or ordinary shares that are Shares Deemed Sold will not be treated as shares in a PFIC unless we become a PFIC in a subsequent taxable year. United States Holders are urged to consult their tax advisors about a deemed sale election.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Mark-to-Market Election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alternative to the foregoing rules, a United States Holder of “marketable stock” in a PFIC may make a mark-to-market election with respect to such stock, provided that certain requirements are met. Our ADSs or ordinary shares generally will be treated as marketable stock if the ADSs or ordinary shares are “regularly traded” on a “qualified exchange or other market” ​(within the meaning of the applicable Treasury regulations). Our ADSs are currently listed on the Nasdaq Global Market which constitutes a qualified exchange, although there can be no assurance that the ADSs will be “regularly traded” for purposes of the mark-to-market election. Only the ADSs and not the ordinary shares are listed on the Nasdaq Global Market. Consequently, if a United States Holder is a holder of our ordinary shares that are not represented by our ADSs, such United States Holder generally will not be eligible to make a mark-to-market election.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United States Holder makes an effective mark-to-market election with respect to the ADSs it holds, for each taxable year that we are a PFIC, such United States Holder will include as ordinary income the excess of the fair market value of such ADSs held at the end of the taxable year over such United States Holder’s adjusted tax basis in such ADSs. A United States Holder will be entitled to deduct as an ordinary loss in each such taxable year the excess, if any, of its adjusted tax basis in the ADSs over the fair market value of such ADSs at the end of the taxable year, but only to the extent of the net amount previously included in income as a result of the mark-to-market election. A United States Holder’s adjusted tax basis in the ADSs will be increased by the amount of any income inclusion and decreased by the amount of any deductions under the mark-to-market rules. In addition, upon the sale or other disposition of our ADSs in a year that we are a PFIC, any gain will be treated as ordinary income and any loss will be treated as ordinary loss, but only to the extent of the net amount of previously included income as a result of the mark-to-market election.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United States Holder makes a mark-to-market election with respect to the ADSs it holds, it will be effective for the taxable year for which the election is made and all subsequent taxable years unless such ADSs are no longer regularly traded on a qualified exchange or other market, or the Internal Revenue Service consents to the revocation of the election. If a United States Holder makes a valid mark-to-market election and we cease to be a PFIC, the United States Holder will not be required to take into account the mark-to-market gain or loss described above during any period for which we are not a PFIC. United States Holders are urged to consult their tax advisors about the availability of the mark-to-market election, and whether making the election would be advisable in light of such United States Holder’s particular circumstances.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Qualified Election Fund Election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a shareholder in a PFIC may avoid some of the disadvantageous tax treatment described above by making a “qualified electing fund” election under Section 1295 of the Code. However,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 is not available to United States Holders because we do not intend to comply with the requirements necessary to permit United States Holders to make this election.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Reporting Requirements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any taxable year for which we are a PFIC with respect to a United States Holder, such United States Holder will generally be required to file IRS Form 8621 regarding direct or indirect distributions received in respect of our ADSs or ordinary shares and any gain realized on the direct or indirect disposition of our ADSs or ordinary shares, and certain United States Holders will be required to file an annual information return (also on IRS Form 8621) relating to their ownership of our ADSs or ordinary shares. Significant penalties are imposed for failure to file such form. United States Holders are urged to consult their tax advisors concerning the United States federal income tax consequences of holding ADSs or ordinary shares if we are a PFIC in any taxable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or Other Taxable Disposition of our ADSs or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United States federal income tax purposes, a United States Holder generally will recognize taxable gain or loss on any sale, exchange or other taxable disposition of the ADSs or ordinary shares in an amount equal to the difference between the amount realized for the ADSs or ordinary shares and the United States Holder’s tax basis in such ADSs or ordinary shares. Subject to the discussion under “— Passive Foreign Investment Company” above, such gain or loss will generally be capital gain or loss and will generally be long-term capital gain or loss if such United States Holder has held such ADSs or ordinary shares for more than one year. Long-term capital gains of non-corporate United States Holders (including individuals) generally are eligible for reduced rates of taxation. The deductibility of capital losses may be subject to limitations. Any gain or loss recognized by a United States Holder will generally be treated as United States source gain or loss for foreign tax credit limitation purposes, which may limit the availability of foreign tax credits. However, if (i) we are treated as a PRC resident enterprise for PRC tax purposes and PRC tax were imposed on any gain and (ii) a United States Holder is eligible for the benefits of the Treaty, such United States Holder may elect to treat such gain as PRC source gain under the Treaty for foreign tax credit purposes, subject to certain limitations. If such an election is made, the gain so treated will be treated as a separate class or “basket” of income for foreign tax credit purposes. United States Holders should consult their tax advisors regarding the proper treatment of gain or loss, as well as the availability of a foreign tax credit, in their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information reporting will apply to dividends in respect of the ADSs or our ordinary shares and the proceeds from the sale, exchange or other disposition of the ADSs or our ordinary shares that are paid to a United States Holder within the United States (and in certain cases, outside the United States), unless a United States Holder is an exempt recipient. A backup withholding tax may apply to such payments if a United States Holder fails to provide a taxpayer identification number or certification of exempt status or fails to report in full dividend and interest income.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and any amounts withheld under the backup withholding rules will be allowed as a refund or a credit against a United States Holder’s United States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Specified Foreign Financial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Holders who are individuals and certain domestic entities generally will be required to submit certain information to the IRS with respect to their beneficial ownership of our ADSs or ordinary shares as is necessary to identify the class or issue of which our ADSs or ordinary shares are a part. These requirements are subject to exceptions, including an exception for ADSs or ordinary shares held in accounts maintained by certain financial institutions and an exception applicable if the aggregate value of all “specified foreign financial assets” (as defined in the Code) does not exceed US$50,000. This law also imposes penalties if a United States Holder is required to submit such information to the IRS and fails to do so. United States Holders are urged to consult their tax advisors regarding the potential reporting requirements that may be imposed with respect to ownership of our ADSs or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POD"/>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describe the terms of the offering, including the following information, if applicable: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dealers or agents; </w:t>
      </w:r>
      <w:r>
        <mc:AlternateContent>
          <mc:Choice Requires="wps">
            <w:drawing>
              <wp:anchor behindDoc="0" distT="6985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managing underwriter or underwriters; </w:t>
      </w:r>
      <w:r>
        <mc:AlternateContent>
          <mc:Choice Requires="wps">
            <w:drawing>
              <wp:anchor behindDoc="0" distT="6477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securities; </w:t>
      </w:r>
      <w:r>
        <mc:AlternateContent>
          <mc:Choice Requires="wps">
            <w:drawing>
              <wp:anchor behindDoc="0" distT="6477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from the sale of the securities; </w:t>
      </w:r>
      <w:r>
        <mc:AlternateContent>
          <mc:Choice Requires="wps">
            <w:drawing>
              <wp:anchor behindDoc="0" distT="6477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6477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commissions and other items constituting underwriters’ compensation; </w:t>
      </w:r>
      <w:r>
        <mc:AlternateContent>
          <mc:Choice Requires="wps">
            <w:drawing>
              <wp:anchor behindDoc="0" distT="635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offering price to the public; </w:t>
      </w:r>
      <w:r>
        <mc:AlternateContent>
          <mc:Choice Requires="wps">
            <w:drawing>
              <wp:anchor behindDoc="0" distT="635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635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commissions paid to agents. </w:t>
      </w:r>
      <w:r>
        <mc:AlternateContent>
          <mc:Choice Requires="wps">
            <w:drawing>
              <wp:anchor behindDoc="0" distT="635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underwriters or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the sale, the underwriters will acquire the securities for their own account, including through underwriting, purchase, security lending or repurchase agreements.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 and sales through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to institutional investors or others who may be deemed to be underwriters within the meaning of the Securities Act with respect to any sale of those securities. The terms of any such sales will be described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prospectus supplement indicates, we may authorize agents, underwriters or dealers to solicit offers from certain types of institutions to purchase securities at the public offering price under delayed delivery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making, stabilization and other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Derivative transactions and hedging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auctions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Of course, many pricing methods can and may also be used.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underwriters, and dealers may be entitled, under agreements entered into with us, to indemnification by us against certain liabilities, including liabilities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LEM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being represented by Cooley LLP with respect to certain legal matters of United States federal securities and New York state law. The validity of the ordinary shares represented by the ADSs offered in this offering and legal matters as to Cayman Islands law will be passed upon for us by Maples and Calder (Hong Kong) LLP. Certain legal matters as to PRC law will be passed upon for us by Commerce &amp; Finance Law Offices. Cooley LLP and Maples and Calder (Hong Kong) LLP may rely upon Commerce &amp; Finance Law Offices with respect to matters governed by PRC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EX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Canaan Inc.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 of KPMG Huazhen LLP, independent registered public accounting firm, incorporated by reference herein,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WYC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ABOUT 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currently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 Our SEC filings may also be obtained over the Internet at the SEC’s website at www.sec.gov.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website is www.canaan-creative.com. The information contained on our websites is not a part of this prospectus. Our agent for service of process in the United States is Cogency Global Inc., located at 122 East 42nd Street, 18th Floor, New York, New York 10168.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IODB"/>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following documents: </w:t>
      </w:r>
    </w:p>
    <w:p>
      <w:pPr>
        <w:pStyle w:val="TextBody"/>
        <w:bidi w:val="0"/>
        <w:spacing w:lineRule="atLeast" w:line="240" w:before="120" w:after="0"/>
        <w:ind w:left="1993" w:right="0" w:hanging="0"/>
        <w:jc w:val="left"/>
        <w:rPr/>
      </w:pPr>
      <w:hyperlink r:id="rId7">
        <w:r>
          <w:rPr>
            <w:rStyle w:val="InternetLink"/>
          </w:rPr>
          <w:t>our annual report on Form 20-F for the fiscal year ended December 31, 2025 filed on April 15,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Report of Foreign Private Issuer on Form 6-K filed with the SEC on May 19, 2026, regarding our unaudited financial results of the first quarter of 2026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description of our securities contained in our registration statement on </w:t>
      </w:r>
      <w:hyperlink r:id="rId8">
        <w:r>
          <w:rPr>
            <w:rStyle w:val="InternetLink"/>
          </w:rPr>
          <w:t>Form 8-A filed with the SEC on November 6, 2019</w:t>
        </w:r>
      </w:hyperlink>
      <w:r>
        <w:rPr>
          <w:rFonts w:ascii="Times New Roman;Times;serif" w:hAnsi="Times New Roman;Times;serif"/>
          <w:b w:val="false"/>
          <w:i w:val="false"/>
          <w:caps w:val="false"/>
          <w:smallCaps w:val="false"/>
          <w:color w:val="000000"/>
          <w:spacing w:val="4"/>
          <w:sz w:val="20"/>
        </w:rPr>
        <w:t xml:space="preserve">, as updated by </w:t>
      </w:r>
      <w:hyperlink r:id="rId9">
        <w:r>
          <w:rPr>
            <w:rStyle w:val="InternetLink"/>
          </w:rPr>
          <w:t>Exhibit 2.2</w:t>
        </w:r>
      </w:hyperlink>
      <w:r>
        <w:rPr>
          <w:rFonts w:ascii="Times New Roman;Times;serif" w:hAnsi="Times New Roman;Times;serif"/>
          <w:b w:val="false"/>
          <w:i w:val="false"/>
          <w:caps w:val="false"/>
          <w:smallCaps w:val="false"/>
          <w:color w:val="000000"/>
          <w:spacing w:val="4"/>
          <w:sz w:val="20"/>
        </w:rPr>
        <w:t xml:space="preserve"> to our Annual Report on Form 20-F for the fiscal year ended December 31, 2019 filed with the SEC on April 15, 2020, and including any amendments or reports filed for purposes of updating such descriptions;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future annual reports on Form 20-F filed with the SEC after the date of this prospectus and prior to the termination of the offering of the securities offered by this prospectus; and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future reports on Form 6-K that we furnish to the SEC after the date of this prospectus that are identified in such reports as being incorporated by reference in this prospectus.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report for the fiscal year ended December 31, 2025 contains a description of our business and audited consolidated financial statements with a report by our independent auditor. The consolidated financial statements are prepared and presented in accordance with U.S. GAAP.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Canaan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28 Ayer Rajah Crescent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#06-08</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Singapore 139959</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 +65 6305 6618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8.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dishonesty, willful default or fraud or the consequences of committing a crime. Our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 of association.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indemnification agreements with our directors and executive officers, the form of which was filed as Exhibit 10.2 to our registration statement on Form F-1, as amended (File No. 333-234356), we have agreed to indemnify our directors and executive officers against certain liabilities and expenses incurred by such persons in connection with claims made by reason of their being such a director or executive officer.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agreement entered into in connection with an offering of our securities may also provide for indemnification of us and our officers and directors in certain cases.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maintain a directors and officers liability insurance policy for our directors and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9.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Exhibit Index beginning on page II-4 of this registration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10.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25400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To include any material information with respect to the plan of distribution not previously disclosed in the registration statement or any material change to such information in the registration statement;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paragraphs (a)(1)(i), (a)(1)(ii) and (a)(1)(iii) of this item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That, for the purpose of determining liability under the Securities Act to any purchaser: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That, for the purpose of determining liability of the registrant under the Securities Act to any purchaser in the initial distribution of the securities: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communications, the undersigned registrant will be a seller to the purchaser and will be considered to offer or sell such securities to such purchaser: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preliminary prospectus or prospectus of the undersigned registrant relating to the offering required to be filed pursuant to Rule 424;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free writing prospectus relating to the offering prepared by or on behalf of the undersigned registrant or used or referred to by the undersigned registrant;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other communication that is an offer in the offering made by the undersigned registrant to the purchaser.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898"/>
        <w:gridCol w:w="109"/>
        <w:gridCol w:w="109"/>
        <w:gridCol w:w="7541"/>
        <w:gridCol w:w="155"/>
      </w:tblGrid>
      <w:tr>
        <w:trPr/>
        <w:tc>
          <w:tcPr>
            <w:tcW w:w="898" w:type="dxa"/>
            <w:tcBorders>
              <w:bottom w:val="single" w:sz="2" w:space="0" w:color="000000"/>
            </w:tcBorders>
            <w:vAlign w:val="center"/>
          </w:tcPr>
          <w:p>
            <w:pPr>
              <w:pStyle w:val="TableContents"/>
              <w:bidi w:val="0"/>
              <w:spacing w:before="0" w:after="283"/>
              <w:jc w:val="left"/>
              <w:rPr/>
            </w:pPr>
            <w:r>
              <w:rPr>
                <w:spacing w:val="-3"/>
              </w:rPr>
              <w:t>Exhibit</w:t>
            </w:r>
            <w:r>
              <w:rPr/>
              <w:t xml:space="preserve"> </w:t>
              <w:br/>
            </w:r>
            <w:r>
              <w:rPr>
                <w:spacing w:val="-3"/>
              </w:rPr>
              <w:t xml:space="preserve">Number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541" w:type="dxa"/>
            <w:tcBorders>
              <w:bottom w:val="single" w:sz="2" w:space="0" w:color="000000"/>
            </w:tcBorders>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0"/>
              <w:jc w:val="both"/>
              <w:rPr/>
            </w:pPr>
            <w:hyperlink r:id="rId10">
              <w:r>
                <w:rPr>
                  <w:rStyle w:val="InternetLink"/>
                  <w:spacing w:val="4"/>
                </w:rPr>
                <w:t>Specimen American Depositary Receipt evidencing American Depositary Shares (included in Exhibit 4.3)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0"/>
              <w:jc w:val="both"/>
              <w:rPr/>
            </w:pPr>
            <w:hyperlink r:id="rId11">
              <w:r>
                <w:rPr>
                  <w:rStyle w:val="InternetLink"/>
                </w:rPr>
                <w:t>Registrant’s Specimen of Ordinary Share Certificate (incorporated by reference to Exhibit 4.1 to the registration statement on Form F-1 (File No. 333-234356), as amended, initially filed with the Securities and Exchange Commission on October 28, 2019)</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0"/>
              <w:jc w:val="both"/>
              <w:rPr/>
            </w:pPr>
            <w:hyperlink r:id="rId12">
              <w:r>
                <w:rPr>
                  <w:rStyle w:val="InternetLink"/>
                </w:rPr>
                <w:t>Form of Deposit Agreement by and among the Registrant, the depositary and the owners and holders of the American Depositary Receipts issued thereunder (incorporated by reference to Exhibit 99.A to the registration statement on Form F-6 (File No. 333-295517), filed with the Securities and Exchange Commission on May 4,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283"/>
              <w:jc w:val="left"/>
              <w:rPr>
                <w:spacing w:val="4"/>
              </w:rPr>
            </w:pPr>
            <w:r>
              <w:rPr>
                <w:spacing w:val="4"/>
              </w:rPr>
              <w:t xml:space="preserve">Certificate of Designation for Preferred Shares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283"/>
              <w:jc w:val="left"/>
              <w:rPr>
                <w:spacing w:val="4"/>
              </w:rPr>
            </w:pPr>
            <w:r>
              <w:rPr>
                <w:spacing w:val="4"/>
              </w:rPr>
              <w:t xml:space="preserve">Registrant’s Specimen of Warrant Certificate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283"/>
              <w:jc w:val="left"/>
              <w:rPr>
                <w:spacing w:val="4"/>
              </w:rPr>
            </w:pPr>
            <w:r>
              <w:rPr>
                <w:spacing w:val="4"/>
              </w:rPr>
              <w:t xml:space="preserve">Form of Warrant Agreement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283"/>
              <w:jc w:val="left"/>
              <w:rPr>
                <w:spacing w:val="4"/>
              </w:rPr>
            </w:pPr>
            <w:r>
              <w:rPr>
                <w:spacing w:val="4"/>
              </w:rPr>
              <w:t xml:space="preserve">Form of Indenture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283"/>
              <w:jc w:val="left"/>
              <w:rPr>
                <w:spacing w:val="4"/>
              </w:rPr>
            </w:pPr>
            <w:r>
              <w:rPr>
                <w:spacing w:val="4"/>
              </w:rPr>
              <w:t xml:space="preserve">Form of Debt Security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283"/>
              <w:jc w:val="left"/>
              <w:rPr>
                <w:spacing w:val="4"/>
              </w:rPr>
            </w:pPr>
            <w:r>
              <w:rPr>
                <w:spacing w:val="4"/>
              </w:rPr>
              <w:t xml:space="preserve">Form of Subscription Rights Agreement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283"/>
              <w:jc w:val="left"/>
              <w:rPr>
                <w:spacing w:val="4"/>
              </w:rPr>
            </w:pPr>
            <w:r>
              <w:rPr>
                <w:spacing w:val="4"/>
              </w:rPr>
              <w:t xml:space="preserve">Form of Subscription Rights Certificate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4.11*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283"/>
              <w:jc w:val="left"/>
              <w:rPr>
                <w:spacing w:val="4"/>
              </w:rPr>
            </w:pPr>
            <w:r>
              <w:rPr>
                <w:spacing w:val="4"/>
              </w:rPr>
              <w:t xml:space="preserve">Specimen Unit Certificate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pPr>
            <w:r>
              <w:rPr>
                <w:spacing w:val="4"/>
              </w:rPr>
              <w:t>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0"/>
              <w:jc w:val="both"/>
              <w:rPr/>
            </w:pPr>
            <w:hyperlink w:anchor="tm2614486d2_ex5-1.htm">
              <w:r>
                <w:rPr>
                  <w:rStyle w:val="InternetLink"/>
                  <w:spacing w:val="4"/>
                </w:rPr>
                <w:t>Opinion of Maples and Calder (Hong Kong) LLP regarding the validity of the securities being registered</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pPr>
            <w:r>
              <w:rPr>
                <w:spacing w:val="4"/>
              </w:rPr>
              <w:t>8.1**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0"/>
              <w:jc w:val="both"/>
              <w:rPr/>
            </w:pPr>
            <w:hyperlink w:anchor="tm2614486d2_ex5-1.htm">
              <w:r>
                <w:rPr>
                  <w:rStyle w:val="InternetLink"/>
                  <w:spacing w:val="4"/>
                </w:rPr>
                <w:t>Opinion of Maples and Calder (Hong Kong) LLP regarding certain Cayman Islands tax matters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pPr>
            <w:r>
              <w:rPr>
                <w:spacing w:val="4"/>
              </w:rPr>
              <w:t>8.2**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0"/>
              <w:jc w:val="left"/>
              <w:rPr/>
            </w:pPr>
            <w:hyperlink w:anchor="tm2614486d2_ex8-2.htm">
              <w:r>
                <w:rPr>
                  <w:rStyle w:val="InternetLink"/>
                  <w:spacing w:val="4"/>
                </w:rPr>
                <w:t>Opinion of Commerce &amp; Finance Law Offices regarding certain PRC law matters</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pPr>
            <w:r>
              <w:rPr>
                <w:spacing w:val="4"/>
              </w:rPr>
              <w:t>23.1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0"/>
              <w:jc w:val="both"/>
              <w:rPr/>
            </w:pPr>
            <w:hyperlink r:id="rId13">
              <w:r>
                <w:rPr>
                  <w:rStyle w:val="InternetLink"/>
                </w:rPr>
                <w:t>Consent of KPMG Huazhen LLP, Independent Registered Public Accounting Firm (incorporated by reference to Exhibit 15.2 of our Annual Report on Form 20-F filed with the Securities and Exchange Commission on April 15,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pPr>
            <w:r>
              <w:rPr>
                <w:spacing w:val="4"/>
              </w:rPr>
              <w:t>23.2**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0"/>
              <w:jc w:val="left"/>
              <w:rPr/>
            </w:pPr>
            <w:hyperlink w:anchor="tm2614486d2_ex5-1.htm">
              <w:r>
                <w:rPr>
                  <w:rStyle w:val="InternetLink"/>
                  <w:spacing w:val="4"/>
                </w:rPr>
                <w:t>Consent of Maples and Calder (Hong Kong)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0"/>
              <w:jc w:val="left"/>
              <w:rPr/>
            </w:pPr>
            <w:hyperlink w:anchor="tm2614486d2_ex23-3.htm">
              <w:r>
                <w:rPr>
                  <w:rStyle w:val="InternetLink"/>
                  <w:spacing w:val="4"/>
                </w:rPr>
                <w:t>Consent of Commerce &amp; Finance Law Offices</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0"/>
              <w:jc w:val="both"/>
              <w:rPr/>
            </w:pPr>
            <w:r>
              <w:fldChar w:fldCharType="begin"/>
            </w:r>
            <w:r>
              <w:rPr>
                <w:rStyle w:val="InternetLink"/>
              </w:rPr>
              <w:instrText xml:space="preserve"> HYPERLINK "http://www.sec.gov/Archives/edgar/data/1780652/000110465925016121/tm257059-1_f3asr.htm" \l "tPOW"</w:instrText>
            </w:r>
            <w:r>
              <w:rPr>
                <w:rStyle w:val="InternetLink"/>
              </w:rPr>
              <w:fldChar w:fldCharType="separate"/>
            </w:r>
            <w:r>
              <w:rPr>
                <w:rStyle w:val="InternetLink"/>
              </w:rPr>
              <w:t>Power of attorney (incorporated by reference to Exhibit 24.1 to the registration statement on Form F-3 (File No. 333-285125), filed with the Securities and Exchange Commission on February 21, 2025)</w:t>
            </w:r>
            <w:r>
              <w:rPr>
                <w:rStyle w:val="InternetLink"/>
              </w:rPr>
              <w:fldChar w:fldCharType="end"/>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0"/>
              <w:jc w:val="both"/>
              <w:rPr>
                <w:spacing w:val="4"/>
              </w:rPr>
            </w:pPr>
            <w:r>
              <w:rPr>
                <w:spacing w:val="4"/>
              </w:rPr>
              <w:t xml:space="preserve">Statement of Eligibility of Trustee under the Indenture (to be filed separately under the electronic form type 305B2, if applicable in accordance with the requirements of Section 305(b)(2) of the Trust Indenture Act and the applicable rules thereunder) </w:t>
            </w:r>
          </w:p>
        </w:tc>
        <w:tc>
          <w:tcPr>
            <w:tcW w:w="155" w:type="dxa"/>
            <w:tcBorders/>
            <w:tcMar>
              <w:bottom w:w="0" w:type="dxa"/>
            </w:tcMar>
            <w:vAlign w:val="center"/>
          </w:tcPr>
          <w:p>
            <w:pPr>
              <w:pStyle w:val="TableContents"/>
              <w:bidi w:val="0"/>
              <w:spacing w:before="0" w:after="283"/>
              <w:jc w:val="left"/>
              <w:rPr/>
            </w:pPr>
            <w:r>
              <w:rPr/>
              <w:t>​</w:t>
            </w:r>
          </w:p>
        </w:tc>
      </w:tr>
      <w:tr>
        <w:trPr/>
        <w:tc>
          <w:tcPr>
            <w:tcW w:w="898"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1" w:type="dxa"/>
            <w:tcBorders/>
            <w:tcMar>
              <w:bottom w:w="0" w:type="dxa"/>
            </w:tcMar>
            <w:vAlign w:val="center"/>
          </w:tcPr>
          <w:p>
            <w:pPr>
              <w:pStyle w:val="TableContents"/>
              <w:bidi w:val="0"/>
              <w:spacing w:before="0" w:after="0"/>
              <w:jc w:val="left"/>
              <w:rPr/>
            </w:pPr>
            <w:hyperlink r:id="rId14">
              <w:r>
                <w:rPr>
                  <w:rStyle w:val="InternetLink"/>
                  <w:spacing w:val="4"/>
                </w:rPr>
                <w:t>Calculation of 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To be filed as an exhibit to a post-effective amendment to this registration statement or as an exhibit to a report filed or furnished under the Exchange Act and incorporated by reference. </w:t>
      </w:r>
      <w:r>
        <mc:AlternateContent>
          <mc:Choice Requires="wps">
            <w:drawing>
              <wp:anchor behindDoc="0" distT="101600" distB="0" distL="0" distR="0" simplePos="0" locked="0" layoutInCell="1" allowOverlap="1" relativeHeight="201">
                <wp:simplePos x="0" y="0"/>
                <wp:positionH relativeFrom="column">
                  <wp:align>left</wp:align>
                </wp:positionH>
                <wp:positionV relativeFrom="line">
                  <wp:align>top</wp:align>
                </wp:positionV>
                <wp:extent cx="254000" cy="233680"/>
                <wp:effectExtent l="0" t="0" r="0" b="0"/>
                <wp:wrapSquare wrapText="right"/>
                <wp:docPr id="196" name="Frame19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Filed with this Post Effective Amendment No. 4 to the Registration Statement on Form F-3. </w:t>
      </w:r>
      <w:r>
        <mc:AlternateContent>
          <mc:Choice Requires="wps">
            <w:drawing>
              <wp:anchor behindDoc="0" distT="50800" distB="0" distL="0" distR="0" simplePos="0" locked="0" layoutInCell="1" allowOverlap="1" relativeHeight="202">
                <wp:simplePos x="0" y="0"/>
                <wp:positionH relativeFrom="column">
                  <wp:align>left</wp:align>
                </wp:positionH>
                <wp:positionV relativeFrom="line">
                  <wp:align>top</wp:align>
                </wp:positionV>
                <wp:extent cx="254000" cy="254000"/>
                <wp:effectExtent l="0" t="0" r="0" b="0"/>
                <wp:wrapSquare wrapText="right"/>
                <wp:docPr id="197" name="Frame19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Previously filed.</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50800" distB="0" distL="0" distR="0" simplePos="0" locked="0" layoutInCell="1" allowOverlap="1" relativeHeight="203">
                <wp:simplePos x="0" y="0"/>
                <wp:positionH relativeFrom="column">
                  <wp:align>left</wp:align>
                </wp:positionH>
                <wp:positionV relativeFrom="line">
                  <wp:align>top</wp:align>
                </wp:positionV>
                <wp:extent cx="254000" cy="254000"/>
                <wp:effectExtent l="0" t="0" r="0" b="0"/>
                <wp:wrapSquare wrapText="right"/>
                <wp:docPr id="198" name="Frame19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registrant certifies that it has reasonable grounds to believe that it meets all of the requirements for filing on Form F-3 and has duly caused this Post-Effective Amendment No. 4 to be signed on its behalf by the undersigned, thereunto duly authorized, in Singapore, on May 22,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CANAAN INC.</w:t>
      </w:r>
      <w:r>
        <w:rPr>
          <w:rFonts w:ascii="Times New Roman;Times;serif" w:hAnsi="Times New Roman;Times;serif"/>
          <w:b/>
          <w:i w:val="false"/>
          <w:caps w:val="false"/>
          <w:smallCaps w:val="false"/>
          <w:color w:val="000000"/>
          <w:spacing w:val="4"/>
          <w:sz w:val="20"/>
        </w:rPr>
        <w:t xml:space="preserve"> </w:t>
      </w:r>
    </w:p>
    <w:tbl>
      <w:tblPr>
        <w:tblW w:w="5952" w:type="dxa"/>
        <w:jc w:val="left"/>
        <w:tblInd w:w="1393" w:type="dxa"/>
        <w:tblLayout w:type="fixed"/>
        <w:tblCellMar>
          <w:top w:w="0" w:type="dxa"/>
          <w:left w:w="0" w:type="dxa"/>
          <w:bottom w:w="0" w:type="dxa"/>
          <w:right w:w="0" w:type="dxa"/>
        </w:tblCellMar>
      </w:tblPr>
      <w:tblGrid>
        <w:gridCol w:w="124"/>
        <w:gridCol w:w="515"/>
        <w:gridCol w:w="109"/>
        <w:gridCol w:w="109"/>
        <w:gridCol w:w="461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jc w:val="left"/>
              <w:rPr/>
            </w:pPr>
            <w:r>
              <w:rPr>
                <w:spacing w:val="4"/>
              </w:rPr>
              <w:t>By: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14" w:type="dxa"/>
            <w:tcBorders/>
            <w:vAlign w:val="center"/>
          </w:tcPr>
          <w:p>
            <w:pPr>
              <w:pStyle w:val="TableContents"/>
              <w:bidi w:val="0"/>
              <w:spacing w:before="0" w:after="0"/>
              <w:jc w:val="left"/>
              <w:rPr/>
            </w:pPr>
            <w:r>
              <w:rPr>
                <w:spacing w:val="4"/>
              </w:rPr>
              <w:t>/s/ Nangeng Zhang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680" w:right="0" w:hanging="0"/>
              <w:jc w:val="left"/>
              <w:rPr>
                <w:spacing w:val="4"/>
              </w:rPr>
            </w:pPr>
            <w:r>
              <w:rPr>
                <w:spacing w:val="4"/>
              </w:rPr>
              <w:t xml:space="preserve">Nangeng Zhang </w:t>
            </w:r>
            <w:r>
              <mc:AlternateContent>
                <mc:Choice Requires="wps">
                  <w:drawing>
                    <wp:anchor behindDoc="0" distT="25400" distB="0" distL="0" distR="0" simplePos="0" locked="0" layoutInCell="1" allowOverlap="1" relativeHeight="204">
                      <wp:simplePos x="0" y="0"/>
                      <wp:positionH relativeFrom="column">
                        <wp:align>left</wp:align>
                      </wp:positionH>
                      <wp:positionV relativeFrom="line">
                        <wp:align>top</wp:align>
                      </wp:positionV>
                      <wp:extent cx="431800" cy="525780"/>
                      <wp:effectExtent l="0" t="0" r="0" b="0"/>
                      <wp:wrapSquare wrapText="right"/>
                      <wp:docPr id="199" name="Frame198"/>
                      <a:graphic xmlns:a="http://schemas.openxmlformats.org/drawingml/2006/main">
                        <a:graphicData uri="http://schemas.microsoft.com/office/word/2010/wordprocessingShape">
                          <wps:wsp>
                            <wps:cNvSpPr txBox="1"/>
                            <wps:spPr>
                              <a:xfrm>
                                <a:off x="0" y="0"/>
                                <a:ext cx="4318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4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680" w:right="0" w:hanging="0"/>
              <w:jc w:val="left"/>
              <w:rPr>
                <w:spacing w:val="4"/>
              </w:rPr>
            </w:pPr>
            <w:r>
              <w:rPr>
                <w:spacing w:val="4"/>
              </w:rPr>
              <w:t xml:space="preserve">Chairman and Chief Executive Officer </w:t>
            </w:r>
            <w:r>
              <mc:AlternateContent>
                <mc:Choice Requires="wps">
                  <w:drawing>
                    <wp:anchor behindDoc="0" distT="25400" distB="0" distL="0" distR="0" simplePos="0" locked="0" layoutInCell="1" allowOverlap="1" relativeHeight="205">
                      <wp:simplePos x="0" y="0"/>
                      <wp:positionH relativeFrom="column">
                        <wp:align>left</wp:align>
                      </wp:positionH>
                      <wp:positionV relativeFrom="line">
                        <wp:align>top</wp:align>
                      </wp:positionV>
                      <wp:extent cx="4318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431800" cy="350520"/>
                              </a:xfrm>
                              <a:prstGeom prst="rect"/>
                              <a:solidFill>
                                <a:srgbClr val="FFFFFF"/>
                              </a:solidFill>
                            </wps:spPr>
                            <wps:txbx>
                              <w:txbxContent>
                                <w:p>
                                  <w:pPr>
                                    <w:pStyle w:val="TextBody"/>
                                    <w:bidi w:val="0"/>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2pt;mso-wrap-distance-bottom:0pt;margin-top:2pt;mso-position-vertical:top;mso-position-vertical-relative:text;margin-left:34pt;mso-position-horizontal:left;mso-position-horizontal-relative:text">
                      <v:textbox>
                        <w:txbxContent>
                          <w:p>
                            <w:pPr>
                              <w:pStyle w:val="TextBody"/>
                              <w:bidi w:val="0"/>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registration statement has been signed by the following persons on May 22, 2026 in the capacities indicated. </w:t>
      </w:r>
    </w:p>
    <w:tbl>
      <w:tblPr>
        <w:tblW w:w="6932" w:type="dxa"/>
        <w:jc w:val="left"/>
        <w:tblInd w:w="1393" w:type="dxa"/>
        <w:tblLayout w:type="fixed"/>
        <w:tblCellMar>
          <w:top w:w="0" w:type="dxa"/>
          <w:left w:w="0" w:type="dxa"/>
          <w:bottom w:w="28" w:type="dxa"/>
          <w:right w:w="0" w:type="dxa"/>
        </w:tblCellMar>
      </w:tblPr>
      <w:tblGrid>
        <w:gridCol w:w="124"/>
        <w:gridCol w:w="2502"/>
        <w:gridCol w:w="109"/>
        <w:gridCol w:w="109"/>
        <w:gridCol w:w="3934"/>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0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3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2" w:type="dxa"/>
            <w:tcBorders/>
            <w:tcMar>
              <w:bottom w:w="0" w:type="dxa"/>
            </w:tcMar>
            <w:vAlign w:val="center"/>
          </w:tcPr>
          <w:p>
            <w:pPr>
              <w:pStyle w:val="TableContents"/>
              <w:bidi w:val="0"/>
              <w:spacing w:before="0" w:after="0"/>
              <w:jc w:val="center"/>
              <w:rPr/>
            </w:pPr>
            <w:r>
              <w:rPr>
                <w:spacing w:val="4"/>
              </w:rPr>
              <w:t>/s/ Nangeng Zhang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Name: Nangeng Zhang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before="0" w:after="283"/>
              <w:jc w:val="left"/>
              <w:rPr/>
            </w:pPr>
            <w:r>
              <w:rPr>
                <w:spacing w:val="4"/>
              </w:rPr>
              <w:t xml:space="preserve">Chairman and Chief Executive Officer </w:t>
            </w:r>
            <w:r>
              <w:rPr/>
              <w:br/>
            </w:r>
            <w:r>
              <w:rPr>
                <w:spacing w:val="4"/>
              </w:rPr>
              <w:t xml:space="preserve">(principal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2"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Name: Wenjun Zhang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before="0" w:after="283"/>
              <w:jc w:val="left"/>
              <w:rPr>
                <w:spacing w:val="4"/>
              </w:rPr>
            </w:pPr>
            <w:r>
              <w:rPr>
                <w:spacing w:val="4"/>
              </w:rPr>
              <w:t xml:space="preserve">Independent 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2"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Name: Hongchao Du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before="0" w:after="283"/>
              <w:jc w:val="left"/>
              <w:rPr>
                <w:spacing w:val="4"/>
              </w:rPr>
            </w:pPr>
            <w:r>
              <w:rPr>
                <w:spacing w:val="4"/>
              </w:rPr>
              <w:t xml:space="preserve">Independent 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2"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Name: Zhitang Shu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before="0" w:after="283"/>
              <w:jc w:val="left"/>
              <w:rPr>
                <w:spacing w:val="4"/>
              </w:rPr>
            </w:pPr>
            <w:r>
              <w:rPr>
                <w:spacing w:val="4"/>
              </w:rPr>
              <w:t xml:space="preserve">Independent 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2"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Name: Yaping Zhang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before="0" w:after="283"/>
              <w:jc w:val="left"/>
              <w:rPr>
                <w:spacing w:val="4"/>
              </w:rPr>
            </w:pPr>
            <w:r>
              <w:rPr>
                <w:spacing w:val="4"/>
              </w:rPr>
              <w:t xml:space="preserve">Independent 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2"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Name: James Jin Cheng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before="0" w:after="283"/>
              <w:jc w:val="left"/>
              <w:rPr/>
            </w:pPr>
            <w:r>
              <w:rPr>
                <w:spacing w:val="4"/>
              </w:rPr>
              <w:t>Chief Financial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tbl>
      <w:tblPr>
        <w:tblW w:w="5580" w:type="dxa"/>
        <w:jc w:val="left"/>
        <w:tblInd w:w="1393" w:type="dxa"/>
        <w:tblLayout w:type="fixed"/>
        <w:tblCellMar>
          <w:top w:w="0" w:type="dxa"/>
          <w:left w:w="0" w:type="dxa"/>
          <w:bottom w:w="0" w:type="dxa"/>
          <w:right w:w="0" w:type="dxa"/>
        </w:tblCellMar>
      </w:tblPr>
      <w:tblGrid>
        <w:gridCol w:w="124"/>
        <w:gridCol w:w="455"/>
        <w:gridCol w:w="109"/>
        <w:gridCol w:w="109"/>
        <w:gridCol w:w="2457"/>
        <w:gridCol w:w="109"/>
        <w:gridCol w:w="109"/>
        <w:gridCol w:w="1954"/>
        <w:gridCol w:w="154"/>
      </w:tblGrid>
      <w:tr>
        <w:trPr/>
        <w:tc>
          <w:tcPr>
            <w:tcW w:w="124"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left"/>
              <w:rPr/>
            </w:pPr>
            <w:r>
              <w:rPr>
                <w:spacing w:val="4"/>
              </w:rPr>
              <w:t>By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0"/>
              <w:jc w:val="left"/>
              <w:rPr/>
            </w:pPr>
            <w:r>
              <w:rPr>
                <w:spacing w:val="4"/>
              </w:rPr>
              <w:t>/s/ Nangeng Zhang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Name: Nangeng Zhang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4" w:type="dxa"/>
            <w:tcBorders/>
            <w:vAlign w:val="center"/>
          </w:tcPr>
          <w:p>
            <w:pPr>
              <w:pStyle w:val="TableContents"/>
              <w:bidi w:val="0"/>
              <w:spacing w:before="0" w:after="283"/>
              <w:jc w:val="left"/>
              <w:rPr/>
            </w:pPr>
            <w:r>
              <w:rPr>
                <w:spacing w:val="4"/>
              </w:rPr>
              <w:t>As attorney in fact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 OF AUTHORIZED REPRESENTATIVE OF THE REGISTRANT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undersigned, the duly authorized representative in the United States of Canaan Inc. has signed this registration statement or amendment thereto in New York, United States on May 22,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U.S. Representative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Cogency Global Inc.</w:t>
      </w:r>
      <w:r>
        <w:rPr>
          <w:rFonts w:ascii="Times New Roman;Times;serif" w:hAnsi="Times New Roman;Times;serif"/>
          <w:b/>
          <w:i w:val="false"/>
          <w:caps w:val="false"/>
          <w:smallCaps w:val="false"/>
          <w:color w:val="000000"/>
          <w:spacing w:val="4"/>
          <w:sz w:val="20"/>
        </w:rPr>
        <w:t xml:space="preserve"> </w:t>
      </w:r>
    </w:p>
    <w:tbl>
      <w:tblPr>
        <w:tblW w:w="7627" w:type="dxa"/>
        <w:jc w:val="left"/>
        <w:tblInd w:w="1393" w:type="dxa"/>
        <w:tblLayout w:type="fixed"/>
        <w:tblCellMar>
          <w:top w:w="0" w:type="dxa"/>
          <w:left w:w="0" w:type="dxa"/>
          <w:bottom w:w="0" w:type="dxa"/>
          <w:right w:w="0" w:type="dxa"/>
        </w:tblCellMar>
      </w:tblPr>
      <w:tblGrid>
        <w:gridCol w:w="124"/>
        <w:gridCol w:w="515"/>
        <w:gridCol w:w="109"/>
        <w:gridCol w:w="109"/>
        <w:gridCol w:w="628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jc w:val="left"/>
              <w:rPr/>
            </w:pPr>
            <w:r>
              <w:rPr>
                <w:spacing w:val="4"/>
              </w:rPr>
              <w:t>By: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89" w:type="dxa"/>
            <w:tcBorders/>
            <w:vAlign w:val="center"/>
          </w:tcPr>
          <w:p>
            <w:pPr>
              <w:pStyle w:val="TableContents"/>
              <w:bidi w:val="0"/>
              <w:spacing w:before="0" w:after="0"/>
              <w:jc w:val="left"/>
              <w:rPr/>
            </w:pPr>
            <w:r>
              <w:rPr>
                <w:spacing w:val="4"/>
              </w:rPr>
              <w:t>/s/ Colleen A. De Vries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680" w:right="0" w:hanging="0"/>
              <w:jc w:val="left"/>
              <w:rPr>
                <w:spacing w:val="4"/>
              </w:rPr>
            </w:pPr>
            <w:r>
              <w:rPr>
                <w:spacing w:val="4"/>
              </w:rPr>
              <w:t xml:space="preserve">Colleen A. De Vries </w:t>
            </w:r>
            <w:r>
              <mc:AlternateContent>
                <mc:Choice Requires="wps">
                  <w:drawing>
                    <wp:anchor behindDoc="0" distT="25400" distB="0" distL="0" distR="0" simplePos="0" locked="0" layoutInCell="1" allowOverlap="1" relativeHeight="206">
                      <wp:simplePos x="0" y="0"/>
                      <wp:positionH relativeFrom="column">
                        <wp:align>left</wp:align>
                      </wp:positionH>
                      <wp:positionV relativeFrom="line">
                        <wp:align>top</wp:align>
                      </wp:positionV>
                      <wp:extent cx="431800" cy="525780"/>
                      <wp:effectExtent l="0" t="0" r="0" b="0"/>
                      <wp:wrapSquare wrapText="right"/>
                      <wp:docPr id="201" name="Frame200"/>
                      <a:graphic xmlns:a="http://schemas.openxmlformats.org/drawingml/2006/main">
                        <a:graphicData uri="http://schemas.microsoft.com/office/word/2010/wordprocessingShape">
                          <wps:wsp>
                            <wps:cNvSpPr txBox="1"/>
                            <wps:spPr>
                              <a:xfrm>
                                <a:off x="0" y="0"/>
                                <a:ext cx="4318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4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680" w:right="0" w:hanging="0"/>
              <w:jc w:val="left"/>
              <w:rPr>
                <w:spacing w:val="4"/>
              </w:rPr>
            </w:pPr>
            <w:r>
              <w:rPr>
                <w:spacing w:val="4"/>
              </w:rPr>
              <w:t xml:space="preserve">Senior Vice President on behalf of Cogency Global Inc. </w:t>
            </w:r>
            <w:r>
              <mc:AlternateContent>
                <mc:Choice Requires="wps">
                  <w:drawing>
                    <wp:anchor behindDoc="0" distT="25400" distB="0" distL="0" distR="0" simplePos="0" locked="0" layoutInCell="1" allowOverlap="1" relativeHeight="207">
                      <wp:simplePos x="0" y="0"/>
                      <wp:positionH relativeFrom="column">
                        <wp:align>left</wp:align>
                      </wp:positionH>
                      <wp:positionV relativeFrom="line">
                        <wp:align>top</wp:align>
                      </wp:positionV>
                      <wp:extent cx="4318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4318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2pt;mso-wrap-distance-bottom:0pt;margin-top:2pt;mso-position-vertical:top;mso-position-vertical-relative:text;margin-left:34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bookmarkStart w:id="23" w:name="tm2614486d2_ex5-1.htm"/>
      <w:bookmarkStart w:id="24" w:name="kstm2614486d2_ex5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19225" cy="1362075"/>
            <wp:effectExtent l="0" t="0" r="0" b="0"/>
            <wp:docPr id="20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 descr=""/>
                    <pic:cNvPicPr>
                      <a:picLocks noChangeAspect="1" noChangeArrowheads="1"/>
                    </pic:cNvPicPr>
                  </pic:nvPicPr>
                  <pic:blipFill>
                    <a:blip r:embed="rId15"/>
                    <a:stretch>
                      <a:fillRect/>
                    </a:stretch>
                  </pic:blipFill>
                  <pic:spPr bwMode="auto">
                    <a:xfrm>
                      <a:off x="0" y="0"/>
                      <a:ext cx="1419225" cy="13620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Ayer Rajah Crescent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#06-08, S139959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May 2026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Cayman Islands legal advisers to Canaan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F-3,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under the U.S. Securities Act of 1933, as amended to date relating to securities to be issued and sold by the Company from time to time. Such securities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a)</w:t>
            </w:r>
          </w:p>
        </w:tc>
        <w:tc>
          <w:tcPr>
            <w:tcW w:w="10005" w:type="dxa"/>
            <w:tcBorders/>
            <w:vAlign w:val="center"/>
          </w:tcPr>
          <w:p>
            <w:pPr>
              <w:pStyle w:val="TableContents"/>
              <w:bidi w:val="0"/>
              <w:spacing w:before="0" w:after="283"/>
              <w:jc w:val="both"/>
              <w:rPr/>
            </w:pPr>
            <w:r>
              <w:rPr/>
              <w:t>class A ordinary shares of the Company of a par value of US$0.00000005 each (the “</w:t>
            </w:r>
            <w:r>
              <w:rPr>
                <w:b/>
              </w:rPr>
              <w:t>Shares</w:t>
            </w:r>
            <w:r>
              <w:rPr/>
              <w:t>”), including in the form of American depositary shares, each representing 15 Shares (the "</w:t>
            </w:r>
            <w:r>
              <w:rPr>
                <w:b/>
              </w:rPr>
              <w:t>ADSs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b)</w:t>
            </w:r>
          </w:p>
        </w:tc>
        <w:tc>
          <w:tcPr>
            <w:tcW w:w="9957" w:type="dxa"/>
            <w:tcBorders/>
            <w:vAlign w:val="center"/>
          </w:tcPr>
          <w:p>
            <w:pPr>
              <w:pStyle w:val="TableContents"/>
              <w:bidi w:val="0"/>
              <w:spacing w:before="0" w:after="283"/>
              <w:jc w:val="both"/>
              <w:rPr/>
            </w:pPr>
            <w:r>
              <w:rPr/>
              <w:t>certain preferred shares of the Company with a par value of US$0.00000005 each (the "</w:t>
            </w:r>
            <w:r>
              <w:rPr>
                <w:b/>
              </w:rPr>
              <w:t>Preferred Shares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c)</w:t>
            </w:r>
          </w:p>
        </w:tc>
        <w:tc>
          <w:tcPr>
            <w:tcW w:w="10020" w:type="dxa"/>
            <w:tcBorders/>
            <w:vAlign w:val="center"/>
          </w:tcPr>
          <w:p>
            <w:pPr>
              <w:pStyle w:val="TableContents"/>
              <w:bidi w:val="0"/>
              <w:spacing w:before="0" w:after="283"/>
              <w:jc w:val="both"/>
              <w:rPr/>
            </w:pPr>
            <w:r>
              <w:rPr/>
              <w:t>certain debt securities of the Company, which may include debt securities exchangeable for or convertible into Shares (collectively the "</w:t>
            </w:r>
            <w:r>
              <w:rPr>
                <w:b/>
              </w:rPr>
              <w:t>Debt Securities</w:t>
            </w:r>
            <w:r>
              <w:rPr/>
              <w:t>"), each series of Debt Securities to be issued under indentures to be entered into by the Company and the trustee for such Debt Securities (the "I</w:t>
            </w:r>
            <w:r>
              <w:rPr>
                <w:b/>
              </w:rPr>
              <w:t>ndentures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d)</w:t>
            </w:r>
          </w:p>
        </w:tc>
        <w:tc>
          <w:tcPr>
            <w:tcW w:w="9997" w:type="dxa"/>
            <w:tcBorders/>
            <w:vAlign w:val="center"/>
          </w:tcPr>
          <w:p>
            <w:pPr>
              <w:pStyle w:val="TableContents"/>
              <w:bidi w:val="0"/>
              <w:spacing w:before="0" w:after="283"/>
              <w:jc w:val="both"/>
              <w:rPr/>
            </w:pPr>
            <w:r>
              <w:rPr/>
              <w:t>warrants to subscribe for Shares in the Company (the "</w:t>
            </w:r>
            <w:r>
              <w:rPr>
                <w:b/>
              </w:rPr>
              <w:t>Warrants</w:t>
            </w:r>
            <w:r>
              <w:rPr/>
              <w:t>") to be issued under warrant agreements to be entered into between the Company and the warrant agent for such Warrants thereunder (the "</w:t>
            </w:r>
            <w:r>
              <w:rPr>
                <w:b/>
              </w:rPr>
              <w:t>Warrant Agreements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e)</w:t>
            </w:r>
          </w:p>
        </w:tc>
        <w:tc>
          <w:tcPr>
            <w:tcW w:w="10019" w:type="dxa"/>
            <w:tcBorders/>
            <w:vAlign w:val="center"/>
          </w:tcPr>
          <w:p>
            <w:pPr>
              <w:pStyle w:val="TableContents"/>
              <w:bidi w:val="0"/>
              <w:spacing w:before="0" w:after="283"/>
              <w:jc w:val="both"/>
              <w:rPr/>
            </w:pPr>
            <w:r>
              <w:rPr/>
              <w:t>subscription rights to purchase Shares in the Company (the "</w:t>
            </w:r>
            <w:r>
              <w:rPr>
                <w:b/>
              </w:rPr>
              <w:t>Subscription Rights</w:t>
            </w:r>
            <w:r>
              <w:rPr/>
              <w:t>") to be issued under standby underwriting agreements to be entered into among the Company and one or more underwriters for such Subscription Rights thereunder (the "</w:t>
            </w:r>
            <w:r>
              <w:rPr>
                <w:b/>
              </w:rPr>
              <w:t>Subscription Rights Agreements</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9"/>
        <w:gridCol w:w="10049"/>
      </w:tblGrid>
      <w:tr>
        <w:trPr/>
        <w:tc>
          <w:tcPr>
            <w:tcW w:w="3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pPr>
            <w:r>
              <w:rPr/>
              <w:t>f)</w:t>
            </w:r>
          </w:p>
        </w:tc>
        <w:tc>
          <w:tcPr>
            <w:tcW w:w="10049" w:type="dxa"/>
            <w:tcBorders/>
            <w:vAlign w:val="center"/>
          </w:tcPr>
          <w:p>
            <w:pPr>
              <w:pStyle w:val="TableContents"/>
              <w:bidi w:val="0"/>
              <w:spacing w:before="0" w:after="283"/>
              <w:jc w:val="both"/>
              <w:rPr/>
            </w:pPr>
            <w:r>
              <w:rPr/>
              <w:t>units comprising of one or more of the ADSs, Preferred Shares, Debt Securities, Warrants, or Subscription Rights in any combination (the "</w:t>
            </w:r>
            <w:r>
              <w:rPr>
                <w:b/>
              </w:rPr>
              <w:t>Units</w:t>
            </w:r>
            <w:r>
              <w:rPr/>
              <w:t>") to be issued under unit agreements to be entered into between the Company and the unitholder for such Units thereunder (the "</w:t>
            </w:r>
            <w:r>
              <w:rPr>
                <w:b/>
              </w:rPr>
              <w:t>Unit Agreements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8.1 and 23.2 to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594"/>
        <w:gridCol w:w="9450"/>
      </w:tblGrid>
      <w:tr>
        <w:trPr/>
        <w:tc>
          <w:tcPr>
            <w:tcW w:w="1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b/>
              </w:rPr>
            </w:pPr>
            <w:r>
              <w:rPr>
                <w:b/>
              </w:rPr>
              <w:t>1</w:t>
            </w:r>
          </w:p>
        </w:tc>
        <w:tc>
          <w:tcPr>
            <w:tcW w:w="9450" w:type="dxa"/>
            <w:tcBorders/>
            <w:vAlign w:val="center"/>
          </w:tcPr>
          <w:p>
            <w:pPr>
              <w:pStyle w:val="TableContents"/>
              <w:bidi w:val="0"/>
              <w:spacing w:before="0" w:after="283"/>
              <w:jc w:val="both"/>
              <w:rPr>
                <w:b/>
              </w:rPr>
            </w:pPr>
            <w:r>
              <w:rPr>
                <w:b/>
              </w:rPr>
              <w:t>Documents Reviewed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reviewed only originals, copies or final drafts of the following documents: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The certificate of incorporation of the Company dated 6 February 2018 and the certificate of incorporation on change of name of the Company dated 24 April 2018 issued by the Registrar of Companies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The amended and restated memorandum and articles of association of the Company as conditionally adopted by a special resolution passed on 4 October 2019 and effective immediately prior to the completion of the Company’s initial public offering of the ADSs representing the Shares (the "</w:t>
            </w:r>
            <w:r>
              <w:rPr>
                <w:b/>
              </w:rPr>
              <w:t>Memorandum and Articles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The certificate of designation, preferences and rights of Series A Convertible Preferred Shares of the Company dated 27 November 2023 (the "</w:t>
            </w:r>
            <w:r>
              <w:rPr>
                <w:b/>
              </w:rPr>
              <w:t>Series A CoD</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8" w:type="dxa"/>
            <w:tcBorders/>
            <w:vAlign w:val="center"/>
          </w:tcPr>
          <w:p>
            <w:pPr>
              <w:pStyle w:val="TableContents"/>
              <w:bidi w:val="0"/>
              <w:spacing w:before="0" w:after="283"/>
              <w:jc w:val="both"/>
              <w:rPr/>
            </w:pPr>
            <w:r>
              <w:rPr/>
              <w:t>The certificate of designation, preferences and rights of Series A-1 Convertible Preferred Shares of the Company dated 13 November 2024 (the "</w:t>
            </w:r>
            <w:r>
              <w:rPr>
                <w:b/>
              </w:rPr>
              <w:t>Series A-1 CoD</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9848" w:type="dxa"/>
            <w:tcBorders/>
            <w:vAlign w:val="center"/>
          </w:tcPr>
          <w:p>
            <w:pPr>
              <w:pStyle w:val="TableContents"/>
              <w:bidi w:val="0"/>
              <w:spacing w:before="0" w:after="283"/>
              <w:jc w:val="both"/>
              <w:rPr/>
            </w:pPr>
            <w:r>
              <w:rPr/>
              <w:t>The written resolutions of the board of directors of the Company dated 9 April 2026 (the "</w:t>
            </w:r>
            <w:r>
              <w:rPr>
                <w:b/>
              </w:rPr>
              <w:t>Board 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1.6</w:t>
            </w:r>
          </w:p>
        </w:tc>
        <w:tc>
          <w:tcPr>
            <w:tcW w:w="9848" w:type="dxa"/>
            <w:tcBorders/>
            <w:vAlign w:val="center"/>
          </w:tcPr>
          <w:p>
            <w:pPr>
              <w:pStyle w:val="TableContents"/>
              <w:bidi w:val="0"/>
              <w:spacing w:before="0" w:after="283"/>
              <w:jc w:val="both"/>
              <w:rPr/>
            </w:pPr>
            <w:r>
              <w:rPr/>
              <w:t>A certificate from a director of the Company, a copy of which is attached hereto (the "</w:t>
            </w:r>
            <w:r>
              <w:rPr>
                <w:b/>
              </w:rPr>
              <w:t>Director's Certificate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1.7</w:t>
            </w:r>
          </w:p>
        </w:tc>
        <w:tc>
          <w:tcPr>
            <w:tcW w:w="9848" w:type="dxa"/>
            <w:tcBorders/>
            <w:vAlign w:val="center"/>
          </w:tcPr>
          <w:p>
            <w:pPr>
              <w:pStyle w:val="TableContents"/>
              <w:bidi w:val="0"/>
              <w:spacing w:before="0" w:after="283"/>
              <w:jc w:val="both"/>
              <w:rPr/>
            </w:pPr>
            <w:r>
              <w:rPr/>
              <w:t>A certificate of good standing dated 13 April 2026, issued by the Registrar of Companies in the Cayman Islands (the "</w:t>
            </w:r>
            <w:r>
              <w:rPr>
                <w:b/>
              </w:rPr>
              <w:t>Certificate of Good Standing</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1082"/>
        <w:gridCol w:w="8995"/>
      </w:tblGrid>
      <w:tr>
        <w:trPr/>
        <w:tc>
          <w:tcPr>
            <w:tcW w:w="12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pPr>
            <w:r>
              <w:rPr/>
              <w:t>1.8</w:t>
            </w:r>
          </w:p>
        </w:tc>
        <w:tc>
          <w:tcPr>
            <w:tcW w:w="8995"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941"/>
        <w:gridCol w:w="9009"/>
      </w:tblGrid>
      <w:tr>
        <w:trPr/>
        <w:tc>
          <w:tcPr>
            <w:tcW w:w="25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b/>
              </w:rPr>
            </w:pPr>
            <w:r>
              <w:rPr>
                <w:b/>
              </w:rPr>
              <w:t>2</w:t>
            </w:r>
          </w:p>
        </w:tc>
        <w:tc>
          <w:tcPr>
            <w:tcW w:w="9009" w:type="dxa"/>
            <w:tcBorders/>
            <w:vAlign w:val="center"/>
          </w:tcPr>
          <w:p>
            <w:pPr>
              <w:pStyle w:val="TableContents"/>
              <w:bidi w:val="0"/>
              <w:spacing w:before="0" w:after="283"/>
              <w:jc w:val="both"/>
              <w:rPr>
                <w:b/>
              </w:rPr>
            </w:pPr>
            <w:r>
              <w:rPr>
                <w:b/>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Copies of documents, conformed copies or drafts of documents provided to us are true and complete copies of, or in the final forms of, the originals.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716"/>
        <w:gridCol w:w="9405"/>
      </w:tblGrid>
      <w:tr>
        <w:trPr/>
        <w:tc>
          <w:tcPr>
            <w:tcW w:w="8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pPr>
            <w:r>
              <w:rPr/>
              <w:t>2.2</w:t>
            </w:r>
          </w:p>
        </w:tc>
        <w:tc>
          <w:tcPr>
            <w:tcW w:w="9405" w:type="dxa"/>
            <w:tcBorders/>
            <w:vAlign w:val="center"/>
          </w:tcPr>
          <w:p>
            <w:pPr>
              <w:pStyle w:val="TableContents"/>
              <w:bidi w:val="0"/>
              <w:spacing w:before="0" w:after="283"/>
              <w:jc w:val="both"/>
              <w:rPr/>
            </w:pPr>
            <w:r>
              <w:rPr/>
              <w:t>All signatures, initials and seals are genuine.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t>There is no contractual or other prohibition or restriction (other than as arising under Cayman Islands law) binding on the Company prohibiting or restricting it from entering into and performing its obligations under the Registration Statement and a duly authorised, executed and delivered Indenture, Warrant Agreement, Subscription Rights Agreement or Unit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8" w:type="dxa"/>
            <w:tcBorders/>
            <w:vAlign w:val="center"/>
          </w:tcPr>
          <w:p>
            <w:pPr>
              <w:pStyle w:val="TableContents"/>
              <w:bidi w:val="0"/>
              <w:spacing w:before="0" w:after="283"/>
              <w:jc w:val="both"/>
              <w:rPr/>
            </w:pPr>
            <w:r>
              <w:rPr/>
              <w:t>The Company will have sufficient authorised capital to effect the issue of the Shares and the Preferred Shares at the time of issuance.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2.5</w:t>
            </w:r>
          </w:p>
        </w:tc>
        <w:tc>
          <w:tcPr>
            <w:tcW w:w="9848" w:type="dxa"/>
            <w:tcBorders/>
            <w:vAlign w:val="center"/>
          </w:tcPr>
          <w:p>
            <w:pPr>
              <w:pStyle w:val="TableContents"/>
              <w:bidi w:val="0"/>
              <w:spacing w:before="0" w:after="283"/>
              <w:jc w:val="both"/>
              <w:rPr/>
            </w:pPr>
            <w:r>
              <w:rPr/>
              <w:t>The Indentures and the Debt Securities, the Warrant Agreements and the Warrants, the Subscription Rights and the Subscription Rights Agreements and the Units and the Unit Agreements, will be, legal, valid, binding and enforceable against all relevant parties in accordance with their terms under the laws of the State of New York and all other relevant laws (other than, with respect to the Company,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2.6</w:t>
            </w:r>
          </w:p>
        </w:tc>
        <w:tc>
          <w:tcPr>
            <w:tcW w:w="9848" w:type="dxa"/>
            <w:tcBorders/>
            <w:vAlign w:val="center"/>
          </w:tcPr>
          <w:p>
            <w:pPr>
              <w:pStyle w:val="TableContents"/>
              <w:bidi w:val="0"/>
              <w:spacing w:before="0" w:after="283"/>
              <w:jc w:val="both"/>
              <w:rPr/>
            </w:pPr>
            <w:r>
              <w:rPr/>
              <w:t>The choice of the laws of the State of New York as the governing law of the Indenture and the Debt Securities, the Warrant Agreements and the Warrants and the Subscription Rights and the Subscription Rights Agreements, will be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2.7</w:t>
            </w:r>
          </w:p>
        </w:tc>
        <w:tc>
          <w:tcPr>
            <w:tcW w:w="9848" w:type="dxa"/>
            <w:tcBorders/>
            <w:vAlign w:val="center"/>
          </w:tcPr>
          <w:p>
            <w:pPr>
              <w:pStyle w:val="TableContents"/>
              <w:bidi w:val="0"/>
              <w:spacing w:before="0" w:after="283"/>
              <w:jc w:val="both"/>
              <w:rPr/>
            </w:pPr>
            <w:r>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Indenture and the Debt Securities, the Warrant Agreements and the Warrants and the Subscription Rights and the Subscription Rights Agreements.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2.8</w:t>
            </w:r>
          </w:p>
        </w:tc>
        <w:tc>
          <w:tcPr>
            <w:tcW w:w="9848" w:type="dxa"/>
            <w:tcBorders/>
            <w:vAlign w:val="center"/>
          </w:tcPr>
          <w:p>
            <w:pPr>
              <w:pStyle w:val="TableContents"/>
              <w:bidi w:val="0"/>
              <w:spacing w:before="0" w:after="283"/>
              <w:jc w:val="both"/>
              <w:rPr/>
            </w:pPr>
            <w:r>
              <w:rPr/>
              <w:t>No monies paid to or for the account of the Company in respect of the Shares, the Debt Securities, the Warrants, the Subscription Rights or the Units represent or will represent proceeds of criminal conduct or criminal property or terrorist property (as defined in the Proceeds of Crime Act (As Revised) and the Terrorism Act (As Revised)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2.9</w:t>
            </w:r>
          </w:p>
        </w:tc>
        <w:tc>
          <w:tcPr>
            <w:tcW w:w="9848" w:type="dxa"/>
            <w:tcBorders/>
            <w:vAlign w:val="center"/>
          </w:tcPr>
          <w:p>
            <w:pPr>
              <w:pStyle w:val="TableContents"/>
              <w:bidi w:val="0"/>
              <w:spacing w:before="0" w:after="283"/>
              <w:jc w:val="both"/>
              <w:rPr/>
            </w:pPr>
            <w:r>
              <w:rPr/>
              <w:t>There is nothing under any law (other than the law of the Cayman Islands), which would or might affect the opinions set out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3"/>
        <w:gridCol w:w="1376"/>
        <w:gridCol w:w="8456"/>
      </w:tblGrid>
      <w:tr>
        <w:trPr/>
        <w:tc>
          <w:tcPr>
            <w:tcW w:w="37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b/>
              </w:rPr>
            </w:pPr>
            <w:r>
              <w:rPr>
                <w:b/>
              </w:rPr>
              <w:t>3</w:t>
            </w:r>
          </w:p>
        </w:tc>
        <w:tc>
          <w:tcPr>
            <w:tcW w:w="8456" w:type="dxa"/>
            <w:tcBorders/>
            <w:vAlign w:val="center"/>
          </w:tcPr>
          <w:p>
            <w:pPr>
              <w:pStyle w:val="TableContents"/>
              <w:bidi w:val="0"/>
              <w:spacing w:before="0" w:after="283"/>
              <w:jc w:val="both"/>
              <w:rPr>
                <w:b/>
              </w:rPr>
            </w:pPr>
            <w:r>
              <w:rPr>
                <w:b/>
              </w:rPr>
              <w:t>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set out below and having regard to such legal considerations as we deem relevant,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The Company has been duly incorporated as an exempted company with limited liability and is validly existing and in good standing with the Registrar of Companies under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The authorised share capital of the Company is US$50,000 divided into 1,000,000,000,000 shares of par value US$0.00000005 comprising of (i) 999,643,050,556 Class A Ordinary Shares of a par value of US$0.00000005 each, (ii) 356,624,444 Class B Ordinary Shares of a par value of US$0.00000005 each, (iii) 125,000 series A preferred shares of a par value of US$0.00000005 each, and (iv) 200,000 series A-1 preferred shares of a par value of US$0.00000005 each.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8" w:type="dxa"/>
            <w:tcBorders/>
            <w:vAlign w:val="center"/>
          </w:tcPr>
          <w:p>
            <w:pPr>
              <w:pStyle w:val="TableContents"/>
              <w:bidi w:val="0"/>
              <w:spacing w:before="0" w:after="283"/>
              <w:jc w:val="both"/>
              <w:rPr/>
            </w:pPr>
            <w:r>
              <w:rPr/>
              <w:t>With respect to the Shares, including those represented by ADSs, and the Preferred Shares, when (i) the Board has taken all necessary corporate action to approve the issue thereof, the terms of the offering thereof and related matters; (ii) the issue of such Shares or Preferred Shares has been recorded in the Company's register of members (shareholders); and (iii) the subscription price of such Shares or Preferred Shares, (being not less than the par value of the Shares or Preferred Shares, as the case may be) has been fully paid in cash or other consideration approved by the Board, the Shares or Preferred Shares will be duly authorised,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t>With respect to each issue of the Debt Securities, when (i) the Board has taken all necessary corporate action to approve the creation and terms of the Debt Securities and to approve the issue thereof, the terms of the offering thereof and related matters; (ii) an Indenture relating to the Debt Securities and the Debt Securities shall have been authorised and duly executed and delivered by and on behalf of the Company and all the relevant parties thereunder in accordance with all relevant laws; and (iii) when such Debt Securities issued thereunder have been duly executed and delivered on behalf of the Company and authenticated in the manner set forth in the Indenture relating to such issue of Debt Securities and delivered against due payment therefor pursuant to, and in accordance with, the terms of the Registration Statement and any relevant prospectus supplement, such Debt Securities issued pursuant to the Indenture will have been duly executed, issued and delivered.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pPr>
            <w:r>
              <w:rPr/>
              <w:t>With respect to each issue of Warrants, when (i) the Board has taken all necessary corporate action to approve the creation and terms of the Warrants and to approve the issue thereof, the terms of the offering thereof and related matters; (ii) a Warrant Agreement relating to the Warrants shall have been duly authorised and validly executed and delivered by the Company and the warrant agent thereunder; and (iii) the certificates representing the Warrants have been duly executed, countersigned, registered and delivered in accordance with the Warrant Agreement relating to the Warrants and the applicable definitive purchase, underwriting or similar agreement approved by the Board upon payment of the consideration therefor provided therein, the Warrants will have been duly authorised, legal and binding obligations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3.6</w:t>
            </w:r>
          </w:p>
        </w:tc>
        <w:tc>
          <w:tcPr>
            <w:tcW w:w="9848" w:type="dxa"/>
            <w:tcBorders/>
            <w:vAlign w:val="center"/>
          </w:tcPr>
          <w:p>
            <w:pPr>
              <w:pStyle w:val="TableContents"/>
              <w:bidi w:val="0"/>
              <w:spacing w:before="0" w:after="283"/>
              <w:jc w:val="both"/>
              <w:rPr/>
            </w:pPr>
            <w:r>
              <w:rPr/>
              <w:t>With respect to each issue of the Subscription Rights, when (i) the Board has taken all necessary corporate action to approve the creation and terms of the Subscription Rights and to approve the issue thereof, the terms of the offering thereof and related matters; (ii) a Subscription Rights Agreement relating to the Subscription Rights and the Subscription Rights shall have been authorised and duly executed and delivered by and on behalf of the Company and all the relevant parties thereunder in accordance with all relevant laws; and (iii) when such Subscription Rights issued thereunder have been duly executed and delivered on behalf of the Company and authenticated in the manner set forth in the Subscription Rights Agreement relating to such issue of Subscription Rights and delivered against due payment therefor pursuant to, and in accordance with, the terms of the Registration Statement and any relevant prospectus supplement, such Subscription Rights issued pursuant to the Subscription Rights Agreement will have been duly executed, issued and delivered.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3.7</w:t>
            </w:r>
          </w:p>
        </w:tc>
        <w:tc>
          <w:tcPr>
            <w:tcW w:w="9848" w:type="dxa"/>
            <w:tcBorders/>
            <w:vAlign w:val="center"/>
          </w:tcPr>
          <w:p>
            <w:pPr>
              <w:pStyle w:val="TableContents"/>
              <w:bidi w:val="0"/>
              <w:spacing w:before="0" w:after="283"/>
              <w:jc w:val="both"/>
              <w:rPr/>
            </w:pPr>
            <w:r>
              <w:rPr/>
              <w:t>With respect to each issue of the Units, when (i) the Board has taken all necessary corporate action to approve the creation and terms of the Units and to approve the issue thereof, the terms of the offering thereof and related matters; (ii) a Unit Agreement relating to the Units and the Units shall have been authorised and duly executed and delivered by and on behalf of the Company and all the relevant parties thereunder in accordance with all relevant laws; and (iii) when such Units issued thereunder have been duly executed and delivered on behalf of the Company and authenticated in the manner set forth in the Unit Agreement relating to such issue of Units and delivered against due payment therefor pursuant to, and in accordance with, the terms of the Registration Statement and any relevant prospectus supplement, such Units issued pursuant to the Unit Agreement will have been duly executed, issued and delivered.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3.8</w:t>
            </w:r>
          </w:p>
        </w:tc>
        <w:tc>
          <w:tcPr>
            <w:tcW w:w="9848" w:type="dxa"/>
            <w:tcBorders/>
            <w:vAlign w:val="center"/>
          </w:tcPr>
          <w:p>
            <w:pPr>
              <w:pStyle w:val="TableContents"/>
              <w:bidi w:val="0"/>
              <w:spacing w:before="0" w:after="283"/>
              <w:jc w:val="both"/>
              <w:rPr/>
            </w:pPr>
            <w:r>
              <w:rPr/>
              <w:t>The statements under the caption "Taxation – Cayman Islands Taxation" in the prospectus forming part of the Registration Statement, to the extent that they constitute statements of Cayman Islands law, are accurate in all material respects and that such statements constitute our 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888"/>
        <w:gridCol w:w="9076"/>
      </w:tblGrid>
      <w:tr>
        <w:trPr/>
        <w:tc>
          <w:tcPr>
            <w:tcW w:w="24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b/>
              </w:rPr>
            </w:pPr>
            <w:r>
              <w:rPr>
                <w:b/>
              </w:rPr>
              <w:t>4</w:t>
            </w:r>
          </w:p>
        </w:tc>
        <w:tc>
          <w:tcPr>
            <w:tcW w:w="9076" w:type="dxa"/>
            <w:tcBorders/>
            <w:vAlign w:val="center"/>
          </w:tcPr>
          <w:p>
            <w:pPr>
              <w:pStyle w:val="TableContents"/>
              <w:bidi w:val="0"/>
              <w:spacing w:before="0" w:after="283"/>
              <w:jc w:val="both"/>
              <w:rPr>
                <w:b/>
              </w:rPr>
            </w:pPr>
            <w:r>
              <w:rPr>
                <w:b/>
              </w:rPr>
              <w:t>Qualifications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To maintain the Company in good standing with the Registrar of Companies under the laws of the Cayman Islands, annual filing fees must be paid and returns made to the Registrar of Companies within the time frame prescribed by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The obligations assumed by the Company under the Indentures, the Warrant Agreements, the Subscription Rights Agreements and the Unit Agreements will not necessarily be enforceable in all circumstances in accordance with their terms. In particular: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enforcement may be limited by bankruptcy, insolvency, liquidation, reorganisation, readjustment of debts or moratorium or other laws of general application relating to, protecting or affecting the rights of creditors and/or contributories;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 xml:space="preserve">enforcement may be limited by general principles of equity. For example, equitable remedies such as specific performance may not be available, </w:t>
            </w:r>
            <w:r>
              <w:rPr>
                <w:i/>
              </w:rPr>
              <w:t>inter alia</w:t>
            </w:r>
            <w:r>
              <w:rPr/>
              <w:t>, where damages are considered to be an adequate remedy;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both"/>
              <w:rPr/>
            </w:pPr>
            <w:r>
              <w:rPr/>
              <w:t>some claims may become barred under relevant statutes of limitation or may be or become subject to defences of set off, counterclaim, estoppel and similar defences;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(d)</w:t>
            </w:r>
          </w:p>
        </w:tc>
        <w:tc>
          <w:tcPr>
            <w:tcW w:w="9920" w:type="dxa"/>
            <w:tcBorders/>
            <w:vAlign w:val="center"/>
          </w:tcPr>
          <w:p>
            <w:pPr>
              <w:pStyle w:val="TableContents"/>
              <w:bidi w:val="0"/>
              <w:spacing w:before="0" w:after="283"/>
              <w:jc w:val="both"/>
              <w:rPr/>
            </w:pPr>
            <w:r>
              <w:rPr/>
              <w:t>where obligations are to be performed in a jurisdiction outside the Cayman Islands, they may not be enforceable in the Cayman Islands to the extent that performance would be illegal under the laws of that jurisdiction;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7" w:type="dxa"/>
            <w:tcBorders/>
            <w:vAlign w:val="center"/>
          </w:tcPr>
          <w:p>
            <w:pPr>
              <w:pStyle w:val="TableContents"/>
              <w:bidi w:val="0"/>
              <w:spacing w:before="0" w:after="283"/>
              <w:jc w:val="both"/>
              <w:rPr/>
            </w:pPr>
            <w:r>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09"/>
        <w:gridCol w:w="9733"/>
      </w:tblGrid>
      <w:tr>
        <w:trPr/>
        <w:tc>
          <w:tcPr>
            <w:tcW w:w="6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(f)</w:t>
            </w:r>
          </w:p>
        </w:tc>
        <w:tc>
          <w:tcPr>
            <w:tcW w:w="9733" w:type="dxa"/>
            <w:tcBorders/>
            <w:vAlign w:val="center"/>
          </w:tcPr>
          <w:p>
            <w:pPr>
              <w:pStyle w:val="TableContents"/>
              <w:bidi w:val="0"/>
              <w:spacing w:before="0" w:after="283"/>
              <w:jc w:val="both"/>
              <w:rPr/>
            </w:pPr>
            <w:r>
              <w:rPr/>
              <w:t>arrangements that constitute penalties will not be enforceable;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(g)</w:t>
            </w:r>
          </w:p>
        </w:tc>
        <w:tc>
          <w:tcPr>
            <w:tcW w:w="9912" w:type="dxa"/>
            <w:tcBorders/>
            <w:vAlign w:val="center"/>
          </w:tcPr>
          <w:p>
            <w:pPr>
              <w:pStyle w:val="TableContents"/>
              <w:bidi w:val="0"/>
              <w:spacing w:before="0" w:after="283"/>
              <w:jc w:val="both"/>
              <w:rPr/>
            </w:pPr>
            <w:r>
              <w:rPr/>
              <w:t>enforcement may be prevented by reason of fraud, coercion, duress, undue influence, misrepresentation, public policy or mistake or limited by the doctrine of frustration of contracts;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(h)</w:t>
            </w:r>
          </w:p>
        </w:tc>
        <w:tc>
          <w:tcPr>
            <w:tcW w:w="9905" w:type="dxa"/>
            <w:tcBorders/>
            <w:vAlign w:val="center"/>
          </w:tcPr>
          <w:p>
            <w:pPr>
              <w:pStyle w:val="TableContents"/>
              <w:bidi w:val="0"/>
              <w:spacing w:before="0" w:after="283"/>
              <w:jc w:val="both"/>
              <w:rPr/>
            </w:pPr>
            <w:r>
              <w:rPr/>
              <w:t>provisions imposing confidentiality obligations may be overridden by compulsion of applicable law or the requirements of legal and/or regulatory process;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(i)</w:t>
            </w:r>
          </w:p>
        </w:tc>
        <w:tc>
          <w:tcPr>
            <w:tcW w:w="9992" w:type="dxa"/>
            <w:tcBorders/>
            <w:vAlign w:val="center"/>
          </w:tcPr>
          <w:p>
            <w:pPr>
              <w:pStyle w:val="TableContents"/>
              <w:bidi w:val="0"/>
              <w:spacing w:before="0" w:after="283"/>
              <w:jc w:val="both"/>
              <w:rPr/>
            </w:pPr>
            <w:r>
              <w:rPr/>
              <w:t>the courts of the Cayman Islands may decline to exercise jurisdiction in relation to substantive proceedings brought under or in relation to the Indentures, the Warrant Agreements, the Subscription Rights Agreements and Unit Agreements in matters where they determine that such proceedings may be tried in a more appropriate forum;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(j)</w:t>
            </w:r>
          </w:p>
        </w:tc>
        <w:tc>
          <w:tcPr>
            <w:tcW w:w="9995" w:type="dxa"/>
            <w:tcBorders/>
            <w:vAlign w:val="center"/>
          </w:tcPr>
          <w:p>
            <w:pPr>
              <w:pStyle w:val="TableContents"/>
              <w:bidi w:val="0"/>
              <w:spacing w:before="0" w:after="283"/>
              <w:jc w:val="both"/>
              <w:rPr/>
            </w:pPr>
            <w:r>
              <w:rPr/>
              <w:t>we reserve our opinion as to the enforceability of the relevant provisions of the Indentures, the Warrant Agreements, the Subscription Rights Agreements and the Unit Agreements to the extent that they purport to grant exclusive jurisdiction as there may be circumstances in which the courts of the Cayman Islands would accept jurisdiction notwithstanding such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(k)</w:t>
            </w:r>
          </w:p>
        </w:tc>
        <w:tc>
          <w:tcPr>
            <w:tcW w:w="9943" w:type="dxa"/>
            <w:tcBorders/>
            <w:vAlign w:val="center"/>
          </w:tcPr>
          <w:p>
            <w:pPr>
              <w:pStyle w:val="TableContents"/>
              <w:bidi w:val="0"/>
              <w:spacing w:before="0" w:after="283"/>
              <w:jc w:val="both"/>
              <w:rPr/>
            </w:pPr>
            <w:r>
              <w:rPr/>
              <w:t>a company cannot, by agreement or in its articles of association, restrict the exercise of a statutory power and there is doubt as to the enforceability of any provision in the Indentures, the Warrant Agreements, the Subscription Rights Agreements and the Unit Agreements whereby the Company covenants to restrict the exercise of powers specifically given to it under the Companies Act (As Revised) (the "</w:t>
            </w:r>
            <w:r>
              <w:rPr>
                <w:b/>
              </w:rPr>
              <w:t>Companies Act</w:t>
            </w:r>
            <w:r>
              <w:rPr/>
              <w:t>"), including, without limitation, the power to increase its authorised share capital, amend its memorandum and articles of association or present a petition to a Cayman Islands court for an order to wind up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(l)</w:t>
            </w:r>
          </w:p>
        </w:tc>
        <w:tc>
          <w:tcPr>
            <w:tcW w:w="9999" w:type="dxa"/>
            <w:tcBorders/>
            <w:vAlign w:val="center"/>
          </w:tcPr>
          <w:p>
            <w:pPr>
              <w:pStyle w:val="TableContents"/>
              <w:bidi w:val="0"/>
              <w:spacing w:before="0" w:after="283"/>
              <w:jc w:val="both"/>
              <w:rPr/>
            </w:pPr>
            <w:r>
              <w:rPr/>
              <w:t>enforcement or performance of any provision in the Indentures, the Warrant Agreements, the Subscription Rights Agreements and the Unit Agreements which relates, directly or indirectly, to an interest in the Company constituting shares, voting rights or ultimate effective control over management in the Company may be prohibited or restricted if any such relevant interest is or becomes subject to a restrictions notice issued under the Beneficial Ownership Transparency Act (As Revised) ("</w:t>
            </w:r>
            <w:r>
              <w:rPr>
                <w:b/>
              </w:rPr>
              <w:t>BOT Act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We express no opinion as to the meaning, validity or effect of any references to foreign (i.e. non-Cayman Islands) statutes, rules, regulations, codes, judicial authority or any other promulgations and any references to them in the Indentures or the Debt Securities, the Warrant Agreements or the Warrants, the Subscription Rights Agreements or the Subscription Rights or the Unit Agreements or the Units.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We have not reviewed any of the Indentures or the Debt Securities to be issued thereunder, the Warrant Agreements or the Warrants to be issued thereunder, the Subscription Rights Agreements or the Subscription Rights to be issued thereunder or the Unit Agreements or the Units to be issued thereunder and our opinions are qualified accordingly.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9848" w:type="dxa"/>
            <w:tcBorders/>
            <w:vAlign w:val="center"/>
          </w:tcPr>
          <w:p>
            <w:pPr>
              <w:pStyle w:val="TableContents"/>
              <w:bidi w:val="0"/>
              <w:spacing w:before="0" w:after="283"/>
              <w:jc w:val="both"/>
              <w:rPr/>
            </w:pPr>
            <w:r>
              <w:rPr/>
              <w:t>We reserve our opinion as to the extent to which the courts of the Cayman Islands would, in the event of any relevant illegality or invalidity, sever the relevant provisions of the Indentures and the Debt Securities, the Warrant Agreements or the Warrants or the Subscription Rights Agreements or the Subscription Rights, or the Unit Agreements or the Units and enforce the remainder of the Indentures and the Debt Securities, the Warrant Agreements or the Warrants or the Subscription Rights Agreements or the Subscription Rights or the Unit Agreements or the Units or the transaction of which such provisions form a part, notwithstanding any express provisions in the Indentures or the Debt Securities, the Warrant Agreements or the Warrants, the Subscription Rights Agreements or the Subscription Rights or the Unit Agreements or the Units in this regard.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4.6</w:t>
            </w:r>
          </w:p>
        </w:tc>
        <w:tc>
          <w:tcPr>
            <w:tcW w:w="9848" w:type="dxa"/>
            <w:tcBorders/>
            <w:vAlign w:val="center"/>
          </w:tcPr>
          <w:p>
            <w:pPr>
              <w:pStyle w:val="TableContents"/>
              <w:bidi w:val="0"/>
              <w:spacing w:before="0" w:after="283"/>
              <w:jc w:val="both"/>
              <w:rPr>
                <w:shd w:fill="FFFFFF" w:val="clear"/>
              </w:rPr>
            </w:pPr>
            <w:r>
              <w:rPr>
                <w:shd w:fill="FFFFFF" w:val="clear"/>
              </w:rPr>
              <w:t>Under the Companies Act, the register of members of a Cayman Islands company is by statute regarded as prima facie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4.7</w:t>
            </w:r>
          </w:p>
        </w:tc>
        <w:tc>
          <w:tcPr>
            <w:tcW w:w="9848" w:type="dxa"/>
            <w:tcBorders/>
            <w:vAlign w:val="center"/>
          </w:tcPr>
          <w:p>
            <w:pPr>
              <w:pStyle w:val="TableContents"/>
              <w:bidi w:val="0"/>
              <w:spacing w:before="0" w:after="283"/>
              <w:jc w:val="both"/>
              <w:rPr/>
            </w:pPr>
            <w:r>
              <w:rPr/>
              <w:t>In this opinion the phrase "non-assessable" means, with respect to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name under the headings "Enforceability of Civil Liabilities", "Taxation" and "Legal Matters" and elsewhere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Maples and Calder (Hong Kong)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5" w:name="tm2614486d2_ex8-2.htm"/>
      <w:bookmarkStart w:id="26" w:name="kstm2614486d2_ex82"/>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Exhibit 8.2</w:t>
      </w:r>
    </w:p>
    <w:p>
      <w:pPr>
        <w:pStyle w:val="TextBody"/>
        <w:bidi w:val="0"/>
        <w:spacing w:before="0" w:after="0"/>
        <w:ind w:left="0" w:right="0" w:hanging="0"/>
        <w:jc w:val="right"/>
        <w:rPr>
          <w:caps w:val="false"/>
          <w:smallCaps w:val="false"/>
          <w:shd w:fill="FFFFFF" w:val="clear"/>
        </w:rPr>
      </w:pPr>
      <w:r>
        <w:rPr>
          <w:caps w:val="false"/>
          <w:smallCaps w:val="false"/>
          <w:shd w:fill="FFFFFF" w:val="clear"/>
        </w:rPr>
        <w:t> </w:t>
      </w:r>
    </w:p>
    <w:p>
      <w:pPr>
        <w:pStyle w:val="TextBody"/>
        <w:bidi w:val="0"/>
        <w:spacing w:before="0" w:after="0"/>
        <w:jc w:val="center"/>
        <w:rPr>
          <w:caps w:val="false"/>
          <w:smallCaps w:val="false"/>
        </w:rPr>
      </w:pPr>
      <w:r>
        <w:rPr>
          <w:caps w:val="false"/>
          <w:smallCaps w:val="false"/>
          <w:shd w:fill="FFFFFF" w:val="clear"/>
        </w:rPr>
        <w:drawing>
          <wp:inline distT="0" distB="0" distL="0" distR="0">
            <wp:extent cx="3143250" cy="581025"/>
            <wp:effectExtent l="0" t="0" r="0" b="0"/>
            <wp:docPr id="20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3" descr=""/>
                    <pic:cNvPicPr>
                      <a:picLocks noChangeAspect="1" noChangeArrowheads="1"/>
                    </pic:cNvPicPr>
                  </pic:nvPicPr>
                  <pic:blipFill>
                    <a:blip r:embed="rId16"/>
                    <a:stretch>
                      <a:fillRect/>
                    </a:stretch>
                  </pic:blipFill>
                  <pic:spPr bwMode="auto">
                    <a:xfrm>
                      <a:off x="0" y="0"/>
                      <a:ext cx="3143250" cy="581025"/>
                    </a:xfrm>
                    <a:prstGeom prst="rect">
                      <a:avLst/>
                    </a:prstGeom>
                  </pic:spPr>
                </pic:pic>
              </a:graphicData>
            </a:graphic>
          </wp:inline>
        </w:drawing>
      </w:r>
      <w:r>
        <w:rPr>
          <w:caps w:val="false"/>
          <w:smallCaps w:val="false"/>
          <w:shd w:fill="FFFFFF" w:val="clear"/>
        </w:rPr>
        <w:t> </w:t>
      </w:r>
      <w:r>
        <w:rPr>
          <w:caps w:val="false"/>
          <w:smallCaps w:val="false"/>
        </w:rPr>
        <w:t> </w:t>
      </w:r>
    </w:p>
    <w:p>
      <w:pPr>
        <w:pStyle w:val="TextBody"/>
        <w:bidi w:val="0"/>
        <w:spacing w:before="0" w:after="0"/>
        <w:ind w:left="0" w:right="0" w:hanging="0"/>
        <w:jc w:val="center"/>
        <w:rPr>
          <w:caps w:val="false"/>
          <w:smallCaps w:val="false"/>
        </w:rPr>
      </w:pPr>
      <w:r>
        <w:rPr>
          <w:rFonts w:eastAsia="Times New Roman;Times;Serif"/>
          <w:b/>
          <w:i w:val="false"/>
          <w:caps w:val="false"/>
          <w:smallCaps w:val="false"/>
          <w:sz w:val="20"/>
          <w:shd w:fill="FFFFFF" w:val="clear"/>
        </w:rPr>
        <w:t>中国北京建国门外大街</w:t>
      </w:r>
      <w:r>
        <w:rPr>
          <w:rFonts w:ascii="Times New Roman;Times;Serif" w:hAnsi="Times New Roman;Times;Serif"/>
          <w:b w:val="false"/>
          <w:i w:val="false"/>
          <w:caps w:val="false"/>
          <w:smallCaps w:val="false"/>
          <w:sz w:val="20"/>
          <w:shd w:fill="FFFFFF" w:val="clear"/>
        </w:rPr>
        <w:t>1</w:t>
      </w:r>
      <w:r>
        <w:rPr>
          <w:rFonts w:eastAsia="Times New Roman;Times;Serif"/>
          <w:b/>
          <w:i w:val="false"/>
          <w:caps w:val="false"/>
          <w:smallCaps w:val="false"/>
          <w:sz w:val="20"/>
          <w:shd w:fill="FFFFFF" w:val="clear"/>
        </w:rPr>
        <w:t>号国贸写字楼</w:t>
      </w:r>
      <w:r>
        <w:rPr>
          <w:rFonts w:ascii="Times New Roman;Times;Serif" w:hAnsi="Times New Roman;Times;Serif"/>
          <w:b w:val="false"/>
          <w:i w:val="false"/>
          <w:caps w:val="false"/>
          <w:smallCaps w:val="false"/>
          <w:sz w:val="20"/>
          <w:shd w:fill="FFFFFF" w:val="clear"/>
        </w:rPr>
        <w:t>2</w:t>
      </w:r>
      <w:r>
        <w:rPr>
          <w:rFonts w:eastAsia="Times New Roman;Times;Serif"/>
          <w:b/>
          <w:i w:val="false"/>
          <w:caps w:val="false"/>
          <w:smallCaps w:val="false"/>
          <w:sz w:val="20"/>
          <w:shd w:fill="FFFFFF" w:val="clear"/>
        </w:rPr>
        <w:t>座</w:t>
      </w:r>
      <w:r>
        <w:rPr>
          <w:rFonts w:ascii="Times New Roman;Times;Serif" w:hAnsi="Times New Roman;Times;Serif"/>
          <w:b w:val="false"/>
          <w:i w:val="false"/>
          <w:caps w:val="false"/>
          <w:smallCaps w:val="false"/>
          <w:sz w:val="20"/>
          <w:shd w:fill="FFFFFF" w:val="clear"/>
        </w:rPr>
        <w:t>12</w:t>
      </w:r>
      <w:r>
        <w:rPr>
          <w:rFonts w:ascii="Times New Roman;Times;Serif" w:hAnsi="Times New Roman;Times;Serif"/>
          <w:b/>
          <w:i w:val="false"/>
          <w:caps w:val="false"/>
          <w:smallCaps w:val="false"/>
          <w:sz w:val="20"/>
          <w:shd w:fill="FFFFFF" w:val="clear"/>
        </w:rPr>
        <w:t>-</w:t>
      </w:r>
      <w:r>
        <w:rPr>
          <w:rFonts w:ascii="Times New Roman;Times;Serif" w:hAnsi="Times New Roman;Times;Serif"/>
          <w:b w:val="false"/>
          <w:i w:val="false"/>
          <w:caps w:val="false"/>
          <w:smallCaps w:val="false"/>
          <w:sz w:val="20"/>
          <w:shd w:fill="FFFFFF" w:val="clear"/>
        </w:rPr>
        <w:t>15</w:t>
      </w:r>
      <w:r>
        <w:rPr>
          <w:rFonts w:eastAsia="Times New Roman;Times;Serif"/>
          <w:b/>
          <w:i w:val="false"/>
          <w:caps w:val="false"/>
          <w:smallCaps w:val="false"/>
          <w:sz w:val="20"/>
          <w:shd w:fill="FFFFFF" w:val="clear"/>
        </w:rPr>
        <w:t>层</w:t>
      </w:r>
      <w:r>
        <w:rPr>
          <w:rFonts w:ascii="Times New Roman;Times;Serif" w:hAnsi="Times New Roman;Times;Serif"/>
          <w:b w:val="false"/>
          <w:i w:val="false"/>
          <w:caps w:val="false"/>
          <w:smallCaps w:val="false"/>
          <w:sz w:val="20"/>
          <w:shd w:fill="FFFFFF" w:val="clear"/>
        </w:rPr>
        <w:t>100004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12-15th Floor, China World Office 2, No. 1 Jianguomenwai Avenue, Beijing 100004, China </w:t>
      </w:r>
    </w:p>
    <w:p>
      <w:pPr>
        <w:pStyle w:val="TextBody"/>
        <w:bidi w:val="0"/>
        <w:spacing w:before="0" w:after="0"/>
        <w:ind w:left="0" w:right="0" w:hanging="0"/>
        <w:jc w:val="center"/>
        <w:rPr>
          <w:caps w:val="false"/>
          <w:smallCaps w:val="false"/>
          <w:shd w:fill="FFFFFF" w:val="clear"/>
        </w:rPr>
      </w:pPr>
      <w:r>
        <w:rPr>
          <w:rFonts w:eastAsia="Times New Roman;Times;Serif"/>
          <w:b/>
          <w:i w:val="false"/>
          <w:caps w:val="false"/>
          <w:smallCaps w:val="false"/>
          <w:sz w:val="20"/>
          <w:shd w:fill="FFFFFF" w:val="clear"/>
        </w:rPr>
        <w:t>电话</w:t>
      </w:r>
      <w:r>
        <w:rPr>
          <w:rFonts w:eastAsia="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 xml:space="preserve">Tel: +86 10 6563 7181 </w:t>
      </w:r>
      <w:r>
        <w:rPr>
          <w:rFonts w:eastAsia="Times New Roman;Times;Serif"/>
          <w:b/>
          <w:i w:val="false"/>
          <w:caps w:val="false"/>
          <w:smallCaps w:val="false"/>
          <w:sz w:val="20"/>
          <w:shd w:fill="FFFFFF" w:val="clear"/>
        </w:rPr>
        <w:t>传真</w:t>
      </w:r>
      <w:r>
        <w:rPr>
          <w:rFonts w:eastAsia="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Fax: +86 10 6569 3838 </w:t>
      </w:r>
    </w:p>
    <w:p>
      <w:pPr>
        <w:pStyle w:val="TextBody"/>
        <w:bidi w:val="0"/>
        <w:spacing w:before="0" w:after="0"/>
        <w:ind w:left="0" w:right="0" w:hanging="0"/>
        <w:jc w:val="center"/>
        <w:rPr>
          <w:caps w:val="false"/>
          <w:smallCaps w:val="false"/>
          <w:shd w:fill="FFFFFF" w:val="clear"/>
        </w:rPr>
      </w:pPr>
      <w:r>
        <w:rPr>
          <w:rFonts w:eastAsia="Times New Roman;Times;Serif"/>
          <w:b/>
          <w:i w:val="false"/>
          <w:caps w:val="false"/>
          <w:smallCaps w:val="false"/>
          <w:sz w:val="20"/>
          <w:shd w:fill="FFFFFF" w:val="clear"/>
        </w:rPr>
        <w:t>电邮</w:t>
      </w:r>
      <w:r>
        <w:rPr>
          <w:rFonts w:eastAsia="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 xml:space="preserve">Email: beijing@tongshang.com </w:t>
      </w:r>
      <w:r>
        <w:rPr>
          <w:rFonts w:eastAsia="Times New Roman;Times;Serif"/>
          <w:b/>
          <w:i w:val="false"/>
          <w:caps w:val="false"/>
          <w:smallCaps w:val="false"/>
          <w:sz w:val="20"/>
          <w:shd w:fill="FFFFFF" w:val="clear"/>
        </w:rPr>
        <w:t>网址</w:t>
      </w:r>
      <w:r>
        <w:rPr>
          <w:rFonts w:eastAsia="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Web: www.tongshang.com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To</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i w:val="false"/>
          <w:caps w:val="false"/>
          <w:smallCaps w:val="false"/>
          <w:sz w:val="20"/>
          <w:shd w:fill="FFFFFF" w:val="clear"/>
        </w:rPr>
        <w:t>Tax Matters in connection with the Offering of </w:t>
      </w:r>
      <w:r>
        <w:rPr>
          <w:rFonts w:ascii="Times New Roman;Times;Serif" w:hAnsi="Times New Roman;Times;Serif"/>
          <w:b/>
          <w:i w:val="false"/>
          <w:caps w:val="false"/>
          <w:smallCaps w:val="false"/>
          <w:sz w:val="20"/>
        </w:rPr>
        <w:t>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456"/>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lawyers of the People’s Republic of China (the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for the purpose of this opinion, excluding the Hong Kong Special Administrative Region, Macao Special Administrative Region and the region of Taiwan) and as such are qualified to issue legal opinions on the PRC laws, regulations or rules effective on the date hereof (the “</w:t>
      </w:r>
      <w:r>
        <w:rPr>
          <w:rFonts w:ascii="Times New Roman;Times;Serif" w:hAnsi="Times New Roman;Times;Serif"/>
          <w:b/>
          <w:i w:val="false"/>
          <w:caps w:val="false"/>
          <w:smallCaps w:val="false"/>
          <w:sz w:val="20"/>
        </w:rPr>
        <w:t>PRC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the PRC counsel to Canaan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company incorporated under the laws of the Cayman Islands in connection with the Company’s registration statement on Form F-3,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U.S. Securities Act of 1933, as amended in relation to the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by the Company of (i) preferred shares, (ii) warrants, (iii) subscription rights and/or (iv) units, (v) debt securities, and (vi) Class A ordinary shares, including Class A ordinary shares represented by American depositary shares (the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with each ADS representing 15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legal opinion (the “</w:t>
      </w:r>
      <w:r>
        <w:rPr>
          <w:rFonts w:ascii="Times New Roman;Times;Serif" w:hAnsi="Times New Roman;Times;Serif"/>
          <w:b/>
          <w:i w:val="false"/>
          <w:caps w:val="false"/>
          <w:smallCaps w:val="false"/>
          <w:sz w:val="20"/>
        </w:rPr>
        <w:t>Opinion</w:t>
      </w:r>
      <w:r>
        <w:rPr>
          <w:rFonts w:ascii="Times New Roman;Times;Serif" w:hAnsi="Times New Roman;Times;Serif"/>
          <w:b w:val="false"/>
          <w:i w:val="false"/>
          <w:caps w:val="false"/>
          <w:smallCaps w:val="false"/>
          <w:sz w:val="20"/>
        </w:rPr>
        <w:t>”) is furnished pursuant to the instructions of the Company on the captioned matters, and is delivered to the Company for the purposes of the Offering.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 acting, we have examined the Registration Statement, the originals or copies, certified or otherwise identified to our satisfaction, of documents provided to us by the Company and Operating Subsidiaries, as defined below, and such other documents, corporate records, certificates issued by PRC governmental authorities and officers of the Company and other instruments as we have deemed necessary or advisable for the purposes of rendering this Opinion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and for purpose of rendering this Opinion, we have assumed without further inquiry, (a) the genuineness of all the signatures, seals and chops, the authenticity of the Documents submitted to us as original and the conformity with authentic original documents submitted to us as copies and the authenticity of such originals; (b) the truthfulness, accuracy and completeness of the Documents, as well as the factual statements contained in the Documents; (c) that the Documents provided to us remain in full force and effect up to the date of this Opinion and that none of the Documents has been revoked, amended, varied or supplemented except as otherwise indicated in such documents; (d) that information provided to us by the Company and PRC Operating Subsidiaries, as defined below, in response to our enquiries for the purpose of this Opinion is true, accurate, complete and not misleading, and that the Company and PRC Operating Subsidiaries have not withheld anything that, if disclosed to us, would reasonably cause us to alter this Opinion in whole or in part; (e) that all Governmental Authorizations, as defined below, and other official statement or documentation are obtained by lawful means in due course; (f) that each of the parties other than PRC Operating Subsidiaries is duly organized and is validly existing in good standing under the laws of its jurisdiction of organization and/or incorporation (as the case may be); (g) that all parties other than the PRC Operating Subsidiaries have the requisite power and authority to enter into, execute, deliver and perform all the Documents to which they are parties and have duly executed, delivered, performed, and will duly perform their obligations under all the Documents to which they are parties; and (h) that all documents submitted to us are legal, valid, binding and enforceable under all such laws as govern or relate to them other than PRC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28825" cy="495300"/>
            <wp:effectExtent l="0" t="0" r="0" b="0"/>
            <wp:docPr id="20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4" descr=""/>
                    <pic:cNvPicPr>
                      <a:picLocks noChangeAspect="1" noChangeArrowheads="1"/>
                    </pic:cNvPicPr>
                  </pic:nvPicPr>
                  <pic:blipFill>
                    <a:blip r:embed="rId17"/>
                    <a:stretch>
                      <a:fillRect/>
                    </a:stretch>
                  </pic:blipFill>
                  <pic:spPr bwMode="auto">
                    <a:xfrm>
                      <a:off x="0" y="0"/>
                      <a:ext cx="2028825"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rendering this Opinion, where important facts were not independently established to us, we have relied upon certificates issued by the governmental authorities and representatives of the Company and PRC Operating Subsidiaries with proper authority and upon representations, made in or pursuant to the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used in this Opinion are defined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Agencies</w:t>
      </w:r>
      <w:r>
        <w:rPr>
          <w:rFonts w:ascii="Times New Roman;Times;Serif" w:hAnsi="Times New Roman;Times;Serif"/>
          <w:b w:val="false"/>
          <w:i w:val="false"/>
          <w:caps w:val="false"/>
          <w:smallCaps w:val="false"/>
          <w:sz w:val="20"/>
        </w:rPr>
        <w:t>” means any national, provincial or local court, governmental agency or body, stock exchange authorities or any other regulator in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means licenses, consents, authorizations, sanctions, permissions, declarations, approvals, orders, registrations, clearances, annual inspections, waivers, qualifications, certificates and permits from, and the reports to and filings with, Governmental Agencies pursuant to any applicable PRC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Operating Subsidiaries</w:t>
      </w:r>
      <w:r>
        <w:rPr>
          <w:rFonts w:ascii="Times New Roman;Times;Serif" w:hAnsi="Times New Roman;Times;Serif"/>
          <w:b w:val="false"/>
          <w:i w:val="false"/>
          <w:caps w:val="false"/>
          <w:smallCaps w:val="false"/>
          <w:sz w:val="20"/>
        </w:rPr>
        <w:t>” means Canaan Creative Co., Ltd., Langfang Creative Technology Co., Ltd., Canaan Convey Co., Ltd., Zhejiang Avalon Technology Co., Ltd., Canaan Creative (SH) Co., Ltd., Canaan Creative International PTE. Ltd., Canaan Creative Global Pte. Ltd., and Canaan U.S.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PRC Operating Subsidiaries</w:t>
      </w:r>
      <w:r>
        <w:rPr>
          <w:rFonts w:ascii="Times New Roman;Times;Serif" w:hAnsi="Times New Roman;Times;Serif"/>
          <w:b w:val="false"/>
          <w:i w:val="false"/>
          <w:caps w:val="false"/>
          <w:smallCaps w:val="false"/>
          <w:sz w:val="20"/>
        </w:rPr>
        <w:t>” means Canaan Creative Co., Ltd., Langfang Creative Technology Co., Ltd., Canaan Convey Co., Ltd., Zhejiang Avalon Technology Co., Ltd. and Canaan Creative (SH)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20"/>
              </w:rPr>
            </w:pPr>
            <w:r>
              <w:rPr>
                <w:sz w:val="20"/>
              </w:rPr>
              <w:t>(a)</w:t>
            </w:r>
          </w:p>
        </w:tc>
        <w:tc>
          <w:tcPr>
            <w:tcW w:w="9947" w:type="dxa"/>
            <w:tcBorders/>
            <w:vAlign w:val="center"/>
          </w:tcPr>
          <w:p>
            <w:pPr>
              <w:pStyle w:val="TableContents"/>
              <w:bidi w:val="0"/>
              <w:spacing w:before="0" w:after="283"/>
              <w:jc w:val="both"/>
              <w:rPr>
                <w:sz w:val="20"/>
              </w:rPr>
            </w:pPr>
            <w:r>
              <w:rPr>
                <w:sz w:val="20"/>
              </w:rPr>
              <w:t>This Opinion is rendered only with respect to the PRC Laws and we express no opinion as to the laws and regulations of any other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20"/>
              </w:rPr>
            </w:pPr>
            <w:r>
              <w:rPr>
                <w:sz w:val="20"/>
              </w:rPr>
              <w:t>(b)</w:t>
            </w:r>
          </w:p>
        </w:tc>
        <w:tc>
          <w:tcPr>
            <w:tcW w:w="9959" w:type="dxa"/>
            <w:tcBorders/>
            <w:vAlign w:val="center"/>
          </w:tcPr>
          <w:p>
            <w:pPr>
              <w:pStyle w:val="TableContents"/>
              <w:bidi w:val="0"/>
              <w:spacing w:before="0" w:after="283"/>
              <w:jc w:val="both"/>
              <w:rPr>
                <w:sz w:val="20"/>
              </w:rPr>
            </w:pPr>
            <w:r>
              <w:rPr>
                <w:sz w:val="20"/>
              </w:rPr>
              <w:t>This Opinion relates only to the PRC Laws in effect on the date hereof and there is no guarantee that any of such PRC Laws, or the interpretation thereof or enforcement therefor, will not be changed, amended or revoked in the immediate future or in the longer term with or without retroactive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20"/>
              </w:rPr>
            </w:pPr>
            <w:r>
              <w:rPr>
                <w:sz w:val="20"/>
              </w:rPr>
              <w:t>(c)</w:t>
            </w:r>
          </w:p>
        </w:tc>
        <w:tc>
          <w:tcPr>
            <w:tcW w:w="9965" w:type="dxa"/>
            <w:tcBorders/>
            <w:vAlign w:val="center"/>
          </w:tcPr>
          <w:p>
            <w:pPr>
              <w:pStyle w:val="TableContents"/>
              <w:bidi w:val="0"/>
              <w:spacing w:before="0" w:after="283"/>
              <w:jc w:val="both"/>
              <w:rPr>
                <w:sz w:val="20"/>
              </w:rPr>
            </w:pPr>
            <w:r>
              <w:rPr>
                <w:sz w:val="20"/>
              </w:rPr>
              <w:t>This Opinion is subject to the discretion of any competent Governmental Agencies in exercising their authority in the PRC in connection with the interpretation, implementation and application of relevant PRC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20"/>
              </w:rPr>
            </w:pPr>
            <w:r>
              <w:rPr>
                <w:sz w:val="20"/>
              </w:rPr>
              <w:t>(d)</w:t>
            </w:r>
          </w:p>
        </w:tc>
        <w:tc>
          <w:tcPr>
            <w:tcW w:w="9955" w:type="dxa"/>
            <w:tcBorders/>
            <w:vAlign w:val="center"/>
          </w:tcPr>
          <w:p>
            <w:pPr>
              <w:pStyle w:val="TableContents"/>
              <w:bidi w:val="0"/>
              <w:spacing w:before="0" w:after="283"/>
              <w:jc w:val="both"/>
              <w:rPr>
                <w:sz w:val="20"/>
              </w:rPr>
            </w:pPr>
            <w:r>
              <w:rPr>
                <w:sz w:val="20"/>
              </w:rPr>
              <w:t>This Opinion is intended to be used in the context which is specifically referred to herein, and each paragraph should be looked at as a whole regarding the same subject matter and no part should be extracted for interpretation separately from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20"/>
              </w:rPr>
            </w:pPr>
            <w:r>
              <w:rPr>
                <w:sz w:val="20"/>
              </w:rPr>
              <w:t>(e)</w:t>
            </w:r>
          </w:p>
        </w:tc>
        <w:tc>
          <w:tcPr>
            <w:tcW w:w="9993" w:type="dxa"/>
            <w:tcBorders/>
            <w:vAlign w:val="center"/>
          </w:tcPr>
          <w:p>
            <w:pPr>
              <w:pStyle w:val="TableContents"/>
              <w:bidi w:val="0"/>
              <w:spacing w:before="0" w:after="283"/>
              <w:jc w:val="both"/>
              <w:rPr>
                <w:sz w:val="20"/>
              </w:rPr>
            </w:pPr>
            <w:r>
              <w:rPr>
                <w:sz w:val="20"/>
              </w:rPr>
              <w:t>This Opinion is, in so far as it relates to the validity, effectiveness and enforceability, subject to (i) any applicable bankruptcy, insolvency, fraudulent transfer, reorganization, moratorium or similar laws affecting creditors’ rights generally; (ii) possible judicial or administrative actions or any laws affecting creditors’ rights generally; (iii) certain legal or statutory principles affecting the enforceability of contractual rights generally under concepts of public interest, state interest, national security, reasonableness, good faith and fair dealing, and applicable statutes of limitation; (iv) any circumstance in connection with formulation, execution or implementation of any legal documents that would be deemed materially mistaken, clearly unconscionable, unlawful, fraudulent, coercionary at the conclusions thereof; (v) judicial discretion with respect to the availability of injunctive relief, the calculation of damages, the availability of indemnifications, remedies or defenses, the calculation of damages, the entitlement to attorney’s fees and other costs, the waiver of immunity from jurisdiction of any court or from legal process, and (iv) the discretion of any competent PRC legislative, administrative or judicial bodies in exercising their authority in connection with the interpretation, implementation and application of relevant laws regulations and policies in the PRC.</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qualifications set out above, as of the issuance date of this Opinion: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 the opinion that, the discussions of PRC taxation under the caption “TAXATION- People’s Republic of China Taxation” in the Registration Statement are true and accurate based on the PRC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rendered to you for the purpose hereof only, and save as provided herein, the Opinion shall not be quoted nor shall a copy be given to any person (apart from the addressee) without our express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remainder of this page is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Commerce &amp; Finance Law Offices </w:t>
      </w:r>
    </w:p>
    <w:tbl>
      <w:tblPr>
        <w:tblW w:w="3020" w:type="dxa"/>
        <w:jc w:val="left"/>
        <w:tblInd w:w="0" w:type="dxa"/>
        <w:tblLayout w:type="fixed"/>
        <w:tblCellMar>
          <w:top w:w="28" w:type="dxa"/>
          <w:left w:w="0" w:type="dxa"/>
          <w:bottom w:w="0" w:type="dxa"/>
          <w:right w:w="0" w:type="dxa"/>
        </w:tblCellMar>
      </w:tblPr>
      <w:tblGrid>
        <w:gridCol w:w="2945"/>
        <w:gridCol w:w="75"/>
      </w:tblGrid>
      <w:tr>
        <w:trPr/>
        <w:tc>
          <w:tcPr>
            <w:tcW w:w="2945" w:type="dxa"/>
            <w:tcBorders>
              <w:top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Commerce &amp; Finance Law Offices</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7" w:name="tm2614486d2_ex23-3.htm"/>
      <w:bookmarkStart w:id="28" w:name="kstm2614486d2_ex233"/>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23.3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514350"/>
            <wp:effectExtent l="0" t="0" r="0" b="0"/>
            <wp:docPr id="20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5" descr=""/>
                    <pic:cNvPicPr>
                      <a:picLocks noChangeAspect="1" noChangeArrowheads="1"/>
                    </pic:cNvPicPr>
                  </pic:nvPicPr>
                  <pic:blipFill>
                    <a:blip r:embed="rId18"/>
                    <a:stretch>
                      <a:fillRect/>
                    </a:stretch>
                  </pic:blipFill>
                  <pic:spPr bwMode="auto">
                    <a:xfrm>
                      <a:off x="0" y="0"/>
                      <a:ext cx="2857500" cy="5143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shd w:fill="FFFFFF" w:val="clear"/>
        </w:rPr>
      </w:pPr>
      <w:r>
        <w:rPr>
          <w:rFonts w:eastAsia="Times New Roman;Times;Serif"/>
          <w:b/>
          <w:i w:val="false"/>
          <w:caps w:val="false"/>
          <w:smallCaps w:val="false"/>
          <w:sz w:val="20"/>
          <w:shd w:fill="FFFFFF" w:val="clear"/>
        </w:rPr>
        <w:t>中国北京建国门外大街</w:t>
      </w:r>
      <w:r>
        <w:rPr>
          <w:rFonts w:ascii="Times New Roman;Times;Serif" w:hAnsi="Times New Roman;Times;Serif"/>
          <w:b w:val="false"/>
          <w:i w:val="false"/>
          <w:caps w:val="false"/>
          <w:smallCaps w:val="false"/>
          <w:sz w:val="20"/>
          <w:shd w:fill="FFFFFF" w:val="clear"/>
        </w:rPr>
        <w:t>1</w:t>
      </w:r>
      <w:r>
        <w:rPr>
          <w:rFonts w:eastAsia="Times New Roman;Times;Serif"/>
          <w:b/>
          <w:i w:val="false"/>
          <w:caps w:val="false"/>
          <w:smallCaps w:val="false"/>
          <w:sz w:val="20"/>
          <w:shd w:fill="FFFFFF" w:val="clear"/>
        </w:rPr>
        <w:t>号国贸写字楼</w:t>
      </w:r>
      <w:r>
        <w:rPr>
          <w:rFonts w:ascii="Times New Roman;Times;Serif" w:hAnsi="Times New Roman;Times;Serif"/>
          <w:b w:val="false"/>
          <w:i w:val="false"/>
          <w:caps w:val="false"/>
          <w:smallCaps w:val="false"/>
          <w:sz w:val="20"/>
          <w:shd w:fill="FFFFFF" w:val="clear"/>
        </w:rPr>
        <w:t>2</w:t>
      </w:r>
      <w:r>
        <w:rPr>
          <w:rFonts w:eastAsia="Times New Roman;Times;Serif"/>
          <w:b/>
          <w:i w:val="false"/>
          <w:caps w:val="false"/>
          <w:smallCaps w:val="false"/>
          <w:sz w:val="20"/>
          <w:shd w:fill="FFFFFF" w:val="clear"/>
        </w:rPr>
        <w:t>座</w:t>
      </w:r>
      <w:r>
        <w:rPr>
          <w:rFonts w:ascii="Times New Roman;Times;Serif" w:hAnsi="Times New Roman;Times;Serif"/>
          <w:b w:val="false"/>
          <w:i w:val="false"/>
          <w:caps w:val="false"/>
          <w:smallCaps w:val="false"/>
          <w:sz w:val="20"/>
          <w:shd w:fill="FFFFFF" w:val="clear"/>
        </w:rPr>
        <w:t>12</w:t>
      </w:r>
      <w:r>
        <w:rPr>
          <w:rFonts w:ascii="Times New Roman;Times;Serif" w:hAnsi="Times New Roman;Times;Serif"/>
          <w:b/>
          <w:i w:val="false"/>
          <w:caps w:val="false"/>
          <w:smallCaps w:val="false"/>
          <w:sz w:val="20"/>
          <w:shd w:fill="FFFFFF" w:val="clear"/>
        </w:rPr>
        <w:t>-</w:t>
      </w:r>
      <w:r>
        <w:rPr>
          <w:rFonts w:ascii="Times New Roman;Times;Serif" w:hAnsi="Times New Roman;Times;Serif"/>
          <w:b w:val="false"/>
          <w:i w:val="false"/>
          <w:caps w:val="false"/>
          <w:smallCaps w:val="false"/>
          <w:sz w:val="20"/>
          <w:shd w:fill="FFFFFF" w:val="clear"/>
        </w:rPr>
        <w:t>15</w:t>
      </w:r>
      <w:r>
        <w:rPr>
          <w:rFonts w:eastAsia="Times New Roman;Times;Serif"/>
          <w:b/>
          <w:i w:val="false"/>
          <w:caps w:val="false"/>
          <w:smallCaps w:val="false"/>
          <w:sz w:val="20"/>
          <w:shd w:fill="FFFFFF" w:val="clear"/>
        </w:rPr>
        <w:t>层</w:t>
      </w:r>
      <w:r>
        <w:rPr>
          <w:rFonts w:ascii="Times New Roman;Times;Serif" w:hAnsi="Times New Roman;Times;Serif"/>
          <w:b w:val="false"/>
          <w:i w:val="false"/>
          <w:caps w:val="false"/>
          <w:smallCaps w:val="false"/>
          <w:sz w:val="20"/>
          <w:shd w:fill="FFFFFF" w:val="clear"/>
        </w:rPr>
        <w:t>100004 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12-15th Floor, China World Office 2, No. 1 Jianguomenwai Avenue, Beijing 100004, China </w:t>
      </w:r>
    </w:p>
    <w:p>
      <w:pPr>
        <w:pStyle w:val="TextBody"/>
        <w:bidi w:val="0"/>
        <w:spacing w:before="0" w:after="0"/>
        <w:ind w:left="0" w:right="0" w:hanging="0"/>
        <w:jc w:val="center"/>
        <w:rPr>
          <w:caps w:val="false"/>
          <w:smallCaps w:val="false"/>
          <w:shd w:fill="FFFFFF" w:val="clear"/>
        </w:rPr>
      </w:pPr>
      <w:r>
        <w:rPr>
          <w:rFonts w:eastAsia="Times New Roman;Times;Serif"/>
          <w:b/>
          <w:i w:val="false"/>
          <w:caps w:val="false"/>
          <w:smallCaps w:val="false"/>
          <w:sz w:val="20"/>
          <w:shd w:fill="FFFFFF" w:val="clear"/>
        </w:rPr>
        <w:t>电话</w:t>
      </w:r>
      <w:r>
        <w:rPr>
          <w:rFonts w:eastAsia="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 xml:space="preserve">Tel: +86 10 6563 7181 </w:t>
      </w:r>
      <w:r>
        <w:rPr>
          <w:rFonts w:eastAsia="Times New Roman;Times;Serif"/>
          <w:b/>
          <w:i w:val="false"/>
          <w:caps w:val="false"/>
          <w:smallCaps w:val="false"/>
          <w:sz w:val="20"/>
          <w:shd w:fill="FFFFFF" w:val="clear"/>
        </w:rPr>
        <w:t>传真</w:t>
      </w:r>
      <w:r>
        <w:rPr>
          <w:rFonts w:eastAsia="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Fax: +86 10 6569 3838 </w:t>
      </w:r>
    </w:p>
    <w:p>
      <w:pPr>
        <w:pStyle w:val="TextBody"/>
        <w:bidi w:val="0"/>
        <w:spacing w:before="0" w:after="0"/>
        <w:ind w:left="0" w:right="0" w:hanging="0"/>
        <w:jc w:val="center"/>
        <w:rPr>
          <w:caps w:val="false"/>
          <w:smallCaps w:val="false"/>
          <w:shd w:fill="FFFFFF" w:val="clear"/>
        </w:rPr>
      </w:pPr>
      <w:r>
        <w:rPr>
          <w:rFonts w:eastAsia="Times New Roman;Times;Serif"/>
          <w:b/>
          <w:i w:val="false"/>
          <w:caps w:val="false"/>
          <w:smallCaps w:val="false"/>
          <w:sz w:val="20"/>
          <w:shd w:fill="FFFFFF" w:val="clear"/>
        </w:rPr>
        <w:t>电邮</w:t>
      </w:r>
      <w:r>
        <w:rPr>
          <w:rFonts w:eastAsia="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 xml:space="preserve">Email: beijing@tongshang.com </w:t>
      </w:r>
      <w:r>
        <w:rPr>
          <w:rFonts w:eastAsia="Times New Roman;Times;Serif"/>
          <w:b/>
          <w:i w:val="false"/>
          <w:caps w:val="false"/>
          <w:smallCaps w:val="false"/>
          <w:sz w:val="20"/>
          <w:shd w:fill="FFFFFF" w:val="clear"/>
        </w:rPr>
        <w:t>网址</w:t>
      </w:r>
      <w:r>
        <w:rPr>
          <w:rFonts w:eastAsia="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Web: www.tongshang.com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To</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i w:val="false"/>
          <w:caps w:val="false"/>
          <w:smallCaps w:val="false"/>
          <w:sz w:val="20"/>
          <w:shd w:fill="FFFFFF" w:val="clear"/>
        </w:rPr>
        <w:t>Consent of People’s Republic of China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consent to the reference to our firm under the headings “ENFORCEABILITY OF CIVIL LIABILITIES”, “TAXATION- People’s Republic of China Taxation” and “LEGAL MATTERS” in the registration statement on Form F-3, including all amendments or supplements thereto, of Canaan Inc. to be filed with the Securities and Exchange Commission. In giving this consent we do not admit that we are within the category of persons whose consent is required under Section 7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remainder of this page is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sincerely,</w:t>
      </w:r>
    </w:p>
    <w:p>
      <w:pPr>
        <w:pStyle w:val="TextBody"/>
        <w:bidi w:val="0"/>
        <w:spacing w:before="0" w:after="0"/>
        <w:ind w:left="0" w:right="0" w:hanging="0"/>
        <w:jc w:val="left"/>
        <w:rPr>
          <w:caps w:val="false"/>
          <w:smallCaps w:val="false"/>
        </w:rPr>
      </w:pPr>
      <w:r>
        <w:rPr>
          <w:caps w:val="false"/>
          <w:smallCaps w:val="false"/>
        </w:rPr>
        <w:t> </w:t>
      </w:r>
    </w:p>
    <w:tbl>
      <w:tblPr>
        <w:tblW w:w="3260" w:type="dxa"/>
        <w:jc w:val="left"/>
        <w:tblInd w:w="0" w:type="dxa"/>
        <w:tblLayout w:type="fixed"/>
        <w:tblCellMar>
          <w:top w:w="0" w:type="dxa"/>
          <w:left w:w="0" w:type="dxa"/>
          <w:bottom w:w="28" w:type="dxa"/>
          <w:right w:w="0" w:type="dxa"/>
        </w:tblCellMar>
      </w:tblPr>
      <w:tblGrid>
        <w:gridCol w:w="3185"/>
        <w:gridCol w:w="75"/>
      </w:tblGrid>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/s/Commerce &amp; Finance Law Offices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Commerce &amp; Finance Law Offices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80652/000110465926043786/can-20251231x20f.htm" TargetMode="External"/><Relationship Id="rId4" Type="http://schemas.openxmlformats.org/officeDocument/2006/relationships/hyperlink" Target="https://www.sec.gov/ix?doc=/Archives/edgar/data/1780652/000110465926043786/can-20251231x20f.htm" TargetMode="External"/><Relationship Id="rId5" Type="http://schemas.openxmlformats.org/officeDocument/2006/relationships/hyperlink" Target="https://www.sec.gov/ix?doc=/Archives/edgar/data/1780652/000110465926043786/can-20251231x20f.htm" TargetMode="External"/><Relationship Id="rId6" Type="http://schemas.openxmlformats.org/officeDocument/2006/relationships/hyperlink" Target="https://www.sec.gov/ix?doc=/Archives/edgar/data/1780652/000110465926043786/can-20251231x20f.htm" TargetMode="External"/><Relationship Id="rId7" Type="http://schemas.openxmlformats.org/officeDocument/2006/relationships/hyperlink" Target="https://www.sec.gov/ix?doc=/Archives/edgar/data/1780652/000110465926043786/can-20251231x20f.htm" TargetMode="External"/><Relationship Id="rId8" Type="http://schemas.openxmlformats.org/officeDocument/2006/relationships/hyperlink" Target="http://www.sec.gov/Archives/edgar/data/1780652/000119312519285286/d796227d8a12b.htm" TargetMode="External"/><Relationship Id="rId9" Type="http://schemas.openxmlformats.org/officeDocument/2006/relationships/hyperlink" Target="http://www.sec.gov/Archives/edgar/data/1780652/000156459020016788/can-ex22_98.htm" TargetMode="External"/><Relationship Id="rId10" Type="http://schemas.openxmlformats.org/officeDocument/2006/relationships/hyperlink" Target="http://www.sec.gov/Archives/edgar/data/1201935/000101915524000351/canaanda.htm" TargetMode="External"/><Relationship Id="rId11" Type="http://schemas.openxmlformats.org/officeDocument/2006/relationships/hyperlink" Target="http://www.sec.gov/Archives/edgar/data/1780652/000119312519276263/d773846dex41.htm" TargetMode="External"/><Relationship Id="rId12" Type="http://schemas.openxmlformats.org/officeDocument/2006/relationships/hyperlink" Target="https://www.sec.gov/Archives/edgar/data/1474274/000119380526000558/e665440_ex99-a.htm" TargetMode="External"/><Relationship Id="rId13" Type="http://schemas.openxmlformats.org/officeDocument/2006/relationships/hyperlink" Target="https://www.sec.gov/Archives/edgar/data/1780652/000110465926043786/can-20251231xex15d2.htm" TargetMode="External"/><Relationship Id="rId14" Type="http://schemas.openxmlformats.org/officeDocument/2006/relationships/hyperlink" Target="http://www.sec.gov/Archives/edgar/data/1780652/000110465925016121/tm257059d2_ex-filingfees.htm" TargetMode="External"/><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44393</Words>
  <Characters>230638</Characters>
  <CharactersWithSpaces>276070</CharactersWithSpaces>
  <Paragraphs>2131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