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192d1_6k.htm"/>
      <w:bookmarkStart w:id="1" w:name="kstm2625192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pBdr>
          <w:bottom w:val="single" w:sz="8" w:space="1" w:color="000000"/>
        </w:pBdr>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001-39127</w:t>
      </w:r>
    </w:p>
    <w:p>
      <w:pPr>
        <w:pStyle w:val="TextBody"/>
        <w:pBdr>
          <w:bottom w:val="single" w:sz="8" w:space="1" w:color="000000"/>
        </w:pBdr>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Canaan Inc.</w:t>
      </w:r>
    </w:p>
    <w:p>
      <w:pPr>
        <w:pStyle w:val="TextBody"/>
        <w:pBdr>
          <w:bottom w:val="single" w:sz="8" w:space="1" w:color="000000"/>
        </w:pBdr>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Ayer Rajah Crescent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#06-08</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139959</w:t>
      </w:r>
    </w:p>
    <w:p>
      <w:pPr>
        <w:pStyle w:val="TextBody"/>
        <w:pBdr>
          <w:bottom w:val="single" w:sz="8" w:space="1" w:color="000000"/>
        </w:pBdr>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submitting our latest interim financial statements as Exhibit 99.1 (the “Exhibit”) to this current report on Form 6-K. If there is any discrepancy between the numbers disclosed in the Exhibit and the numbers disclosed in the exhibit of our prior 6-Ks, the number disclosed herein will supersede.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6-K is hereby incorporated by reference into the registration statements of Canaan Inc. on Form F-3 (File No. 333-285125), and shall be a part thereof from the date on which this current report is furnished,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55"/>
        <w:gridCol w:w="60"/>
        <w:gridCol w:w="8990"/>
      </w:tblGrid>
      <w:tr>
        <w:trPr/>
        <w:tc>
          <w:tcPr>
            <w:tcW w:w="115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8990"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155" w:type="dxa"/>
            <w:tcBorders/>
            <w:tcMar>
              <w:bottom w:w="0" w:type="dxa"/>
            </w:tcMar>
            <w:vAlign w:val="center"/>
          </w:tcPr>
          <w:p>
            <w:pPr>
              <w:pStyle w:val="TableContents"/>
              <w:bidi w:val="0"/>
              <w:spacing w:before="0" w:after="283"/>
              <w:jc w:val="left"/>
              <w:rPr/>
            </w:pPr>
            <w:hyperlink w:anchor="tm2625192d1_ex99-1.htm">
              <w:r>
                <w:rPr>
                  <w:rStyle w:val="InternetLink"/>
                  <w:rFonts w:ascii="Times New Roman;Times;Serif" w:hAnsi="Times New Roman;Times;Serif"/>
                  <w:sz w:val="20"/>
                </w:rPr>
                <w:t>Exhibit 99.1</w:t>
              </w:r>
            </w:hyperlink>
          </w:p>
        </w:tc>
        <w:tc>
          <w:tcPr>
            <w:tcW w:w="60" w:type="dxa"/>
            <w:tcBorders/>
            <w:tcMar>
              <w:bottom w:w="0" w:type="dxa"/>
            </w:tcMar>
            <w:vAlign w:val="center"/>
          </w:tcPr>
          <w:p>
            <w:pPr>
              <w:pStyle w:val="TableContents"/>
              <w:bidi w:val="0"/>
              <w:spacing w:before="0" w:after="283"/>
              <w:jc w:val="left"/>
              <w:rPr/>
            </w:pPr>
            <w:r>
              <w:rPr/>
              <w:t> </w:t>
            </w:r>
          </w:p>
        </w:tc>
        <w:tc>
          <w:tcPr>
            <w:tcW w:w="8990" w:type="dxa"/>
            <w:tcBorders/>
            <w:tcMar>
              <w:bottom w:w="0" w:type="dxa"/>
            </w:tcMar>
            <w:vAlign w:val="center"/>
          </w:tcPr>
          <w:p>
            <w:pPr>
              <w:pStyle w:val="TableContents"/>
              <w:bidi w:val="0"/>
              <w:spacing w:before="0" w:after="283"/>
              <w:jc w:val="both"/>
              <w:rPr/>
            </w:pPr>
            <w:hyperlink w:anchor="tm2625192d1_ex99-1.htm">
              <w:r>
                <w:rPr>
                  <w:rStyle w:val="InternetLink"/>
                  <w:rFonts w:ascii="Times New Roman;Times;Serif" w:hAnsi="Times New Roman;Times;Serif"/>
                  <w:sz w:val="20"/>
                </w:rPr>
                <w:t>Unaudited Interim Condensed Consolidated Financial Statements for the six months periods ended June 30, 2025 and 2026</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45"/>
        <w:gridCol w:w="3140"/>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Canaan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pPr>
            <w:r>
              <w:rPr/>
              <w:t>/s/ Nangeng Zhang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Nangeng Zhang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11,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tm2625192d1_ex99-1.htm"/>
      <w:bookmarkStart w:id="3" w:name="kstm2625192d1_ex991"/>
      <w:bookmarkEnd w:id="2"/>
      <w:bookmarkEnd w:id="3"/>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8945"/>
        <w:gridCol w:w="305"/>
      </w:tblGrid>
      <w:tr>
        <w:trPr/>
        <w:tc>
          <w:tcPr>
            <w:tcW w:w="894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Unaudited Consolidated Balance Sheets as of December 31, 2025 and June 30, 2026</w:t>
            </w:r>
          </w:p>
        </w:tc>
        <w:tc>
          <w:tcPr>
            <w:tcW w:w="305" w:type="dxa"/>
            <w:tcBorders/>
            <w:vAlign w:val="center"/>
          </w:tcPr>
          <w:p>
            <w:pPr>
              <w:pStyle w:val="TableContents"/>
              <w:bidi w:val="0"/>
              <w:spacing w:before="0" w:after="283"/>
              <w:ind w:left="0" w:right="0" w:hanging="180"/>
              <w:jc w:val="right"/>
              <w:rPr>
                <w:rFonts w:ascii="Times New Roman;Times;Serif" w:hAnsi="Times New Roman;Times;Serif"/>
                <w:sz w:val="20"/>
              </w:rPr>
            </w:pPr>
            <w:r>
              <w:rPr>
                <w:rFonts w:ascii="Times New Roman;Times;Serif" w:hAnsi="Times New Roman;Times;Serif"/>
                <w:sz w:val="20"/>
              </w:rPr>
              <w:t>F-2</w:t>
            </w:r>
          </w:p>
        </w:tc>
      </w:tr>
      <w:tr>
        <w:trPr/>
        <w:tc>
          <w:tcPr>
            <w:tcW w:w="8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Unaudited Consolidated Statements of Comprehensive Loss for the six months ended June 30, 2025 and 2026</w:t>
            </w:r>
          </w:p>
        </w:tc>
        <w:tc>
          <w:tcPr>
            <w:tcW w:w="305" w:type="dxa"/>
            <w:tcBorders/>
            <w:vAlign w:val="center"/>
          </w:tcPr>
          <w:p>
            <w:pPr>
              <w:pStyle w:val="TableContents"/>
              <w:bidi w:val="0"/>
              <w:spacing w:before="0" w:after="283"/>
              <w:ind w:left="0" w:right="0" w:hanging="180"/>
              <w:jc w:val="right"/>
              <w:rPr>
                <w:rFonts w:ascii="Times New Roman;Times;Serif" w:hAnsi="Times New Roman;Times;Serif"/>
                <w:sz w:val="20"/>
              </w:rPr>
            </w:pPr>
            <w:r>
              <w:rPr>
                <w:rFonts w:ascii="Times New Roman;Times;Serif" w:hAnsi="Times New Roman;Times;Serif"/>
                <w:sz w:val="20"/>
              </w:rPr>
              <w:t>F-4</w:t>
            </w:r>
          </w:p>
        </w:tc>
      </w:tr>
      <w:tr>
        <w:trPr/>
        <w:tc>
          <w:tcPr>
            <w:tcW w:w="8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Unaudited Consolidated Statements of Cash Flows for the six months ended June 30, 2025 and 2026</w:t>
            </w:r>
          </w:p>
        </w:tc>
        <w:tc>
          <w:tcPr>
            <w:tcW w:w="305" w:type="dxa"/>
            <w:tcBorders/>
            <w:vAlign w:val="center"/>
          </w:tcPr>
          <w:p>
            <w:pPr>
              <w:pStyle w:val="TableContents"/>
              <w:bidi w:val="0"/>
              <w:spacing w:before="0" w:after="283"/>
              <w:ind w:left="0" w:right="0" w:hanging="180"/>
              <w:jc w:val="right"/>
              <w:rPr>
                <w:rFonts w:ascii="Times New Roman;Times;Serif" w:hAnsi="Times New Roman;Times;Serif"/>
                <w:sz w:val="20"/>
              </w:rPr>
            </w:pPr>
            <w:r>
              <w:rPr>
                <w:rFonts w:ascii="Times New Roman;Times;Serif" w:hAnsi="Times New Roman;Times;Serif"/>
                <w:sz w:val="20"/>
              </w:rPr>
              <w:t>F-6</w:t>
            </w:r>
          </w:p>
        </w:tc>
      </w:tr>
      <w:tr>
        <w:trPr/>
        <w:tc>
          <w:tcPr>
            <w:tcW w:w="8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to the Consolidated Financial Statements</w:t>
            </w:r>
          </w:p>
        </w:tc>
        <w:tc>
          <w:tcPr>
            <w:tcW w:w="30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 and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jc w:val="center"/>
        <w:rPr>
          <w:caps w:val="false"/>
          <w:smallCaps w:val="false"/>
        </w:rPr>
      </w:pPr>
      <w:r>
        <w:rPr>
          <w:caps w:val="false"/>
          <w:smallCaps w:val="false"/>
        </w:rPr>
        <w:t> </w:t>
      </w:r>
    </w:p>
    <w:tbl>
      <w:tblPr>
        <w:tblW w:w="6874" w:type="dxa"/>
        <w:jc w:val="left"/>
        <w:tblInd w:w="0" w:type="dxa"/>
        <w:tblLayout w:type="fixed"/>
        <w:tblCellMar>
          <w:top w:w="0" w:type="dxa"/>
          <w:left w:w="0" w:type="dxa"/>
          <w:bottom w:w="0" w:type="dxa"/>
          <w:right w:w="0" w:type="dxa"/>
        </w:tblCellMar>
      </w:tblPr>
      <w:tblGrid>
        <w:gridCol w:w="4220"/>
        <w:gridCol w:w="60"/>
        <w:gridCol w:w="410"/>
        <w:gridCol w:w="60"/>
        <w:gridCol w:w="92"/>
        <w:gridCol w:w="1082"/>
        <w:gridCol w:w="60"/>
        <w:gridCol w:w="60"/>
        <w:gridCol w:w="60"/>
        <w:gridCol w:w="695"/>
        <w:gridCol w:w="75"/>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66,006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180,816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128,835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receivable,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29,139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Held-for-sale assets, current</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433,290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310,552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47,019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receivable, 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41,786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equity investees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equipment and software,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27,388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financial investment</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169,594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135,688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602,884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446,240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long-term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23,888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15,455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payable</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51,986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131,089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108,496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165,516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153,534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Contingencies (Note 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BALANCE SHEETS (CONTINUED)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 and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04"/>
        <w:gridCol w:w="60"/>
        <w:gridCol w:w="410"/>
        <w:gridCol w:w="60"/>
        <w:gridCol w:w="74"/>
        <w:gridCol w:w="1069"/>
        <w:gridCol w:w="80"/>
        <w:gridCol w:w="60"/>
        <w:gridCol w:w="60"/>
        <w:gridCol w:w="845"/>
        <w:gridCol w:w="83"/>
      </w:tblGrid>
      <w:tr>
        <w:trPr/>
        <w:tc>
          <w:tcPr>
            <w:tcW w:w="7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June 30,</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3"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0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74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(US$0.00000005 par value; 999,643,050,556 authorized, 10,431,482,973 and 11,237,922,873 shares issued, 9,703,445,043 and 10,557,490,218 shares outstanding as of December 31, 2025 and June 30, 2026,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 (US$0.00000005 par value; 356,624,444 shares authorized, 311,624,444 shares issued and outstanding as of December 31, 2025 and June 30, 2026,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Subscriptions receivable from shareholders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stocks (US$0.00000005 par value; 366,981,615 and 342,319,770 shares as of December 31, 2025 and June 30, 2026,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(20,255</w:t>
            </w:r>
          </w:p>
        </w:tc>
        <w:tc>
          <w:tcPr>
            <w:tcW w:w="83"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1,177,057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1,192,812</w:t>
            </w:r>
          </w:p>
        </w:tc>
        <w:tc>
          <w:tcPr>
            <w:tcW w:w="8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reserves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14,892</w:t>
            </w:r>
          </w:p>
        </w:tc>
        <w:tc>
          <w:tcPr>
            <w:tcW w:w="8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(47,632</w:t>
            </w:r>
          </w:p>
        </w:tc>
        <w:tc>
          <w:tcPr>
            <w:tcW w:w="83"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(660,757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(847,112</w:t>
            </w:r>
          </w:p>
        </w:tc>
        <w:tc>
          <w:tcPr>
            <w:tcW w:w="83"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0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437,368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292,706</w:t>
            </w:r>
          </w:p>
        </w:tc>
        <w:tc>
          <w:tcPr>
            <w:tcW w:w="8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0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602,884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446,240</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STATEMENTS OF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8206" w:type="dxa"/>
        <w:jc w:val="left"/>
        <w:tblInd w:w="0" w:type="dxa"/>
        <w:tblLayout w:type="fixed"/>
        <w:tblCellMar>
          <w:top w:w="0" w:type="dxa"/>
          <w:left w:w="0" w:type="dxa"/>
          <w:bottom w:w="0" w:type="dxa"/>
          <w:right w:w="0" w:type="dxa"/>
        </w:tblCellMar>
      </w:tblPr>
      <w:tblGrid>
        <w:gridCol w:w="5465"/>
        <w:gridCol w:w="60"/>
        <w:gridCol w:w="410"/>
        <w:gridCol w:w="60"/>
        <w:gridCol w:w="71"/>
        <w:gridCol w:w="904"/>
        <w:gridCol w:w="95"/>
        <w:gridCol w:w="71"/>
        <w:gridCol w:w="71"/>
        <w:gridCol w:w="904"/>
        <w:gridCol w:w="95"/>
      </w:tblGrid>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9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9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 revenue</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130,245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revenue</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36,781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182,985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94,555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 cost</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(117,949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(102,642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cost</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(54,935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(43,065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cost</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cost of revenues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(173,033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(146,794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 (loss)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(52,239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(35,353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(30,255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(33,269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on property, equipment and software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disposal of property, equipment and software</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(74,651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(71,532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(64,699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(123,771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cryptocurrency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(34,211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financial instruments other than derivatives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(21,877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financial derivatives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(24,882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Excess of fair value of convertible preferred shares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gains (losses), net</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 expense</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(96,011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(180,976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losses of equity investees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05"/>
        <w:gridCol w:w="60"/>
        <w:gridCol w:w="410"/>
        <w:gridCol w:w="60"/>
        <w:gridCol w:w="60"/>
        <w:gridCol w:w="1205"/>
        <w:gridCol w:w="80"/>
        <w:gridCol w:w="60"/>
        <w:gridCol w:w="60"/>
        <w:gridCol w:w="1310"/>
        <w:gridCol w:w="95"/>
      </w:tblGrid>
      <w:tr>
        <w:trPr/>
        <w:tc>
          <w:tcPr>
            <w:tcW w:w="6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(97,489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(186,355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 net of nil tax</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9,021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loss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(177,334</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shares used in per Class A and Class B ordinary share calculation:</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80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5,385,963,052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10,198,604,961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0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5,385,963,052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10,198,604,961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Class A and Class B ordinary share (cent per share)</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80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compensation expenses were included in:</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00"/>
        <w:gridCol w:w="60"/>
        <w:gridCol w:w="74"/>
        <w:gridCol w:w="939"/>
        <w:gridCol w:w="98"/>
        <w:gridCol w:w="74"/>
        <w:gridCol w:w="74"/>
        <w:gridCol w:w="808"/>
        <w:gridCol w:w="278"/>
      </w:tblGrid>
      <w:tr>
        <w:trPr/>
        <w:tc>
          <w:tcPr>
            <w:tcW w:w="7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6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br/>
              <w:t>June 30,</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8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88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 </w:t>
            </w:r>
          </w:p>
        </w:tc>
        <w:tc>
          <w:tcPr>
            <w:tcW w:w="278" w:type="dxa"/>
            <w:tcBorders/>
            <w:shd w:fill="CCEEFF" w:val="clear"/>
            <w:vAlign w:val="center"/>
          </w:tcPr>
          <w:p>
            <w:pPr>
              <w:pStyle w:val="TableContents"/>
              <w:bidi w:val="0"/>
              <w:spacing w:before="0" w:after="283"/>
              <w:jc w:val="left"/>
              <w:rPr/>
            </w:pPr>
            <w:r>
              <w:rPr/>
              <w:t> </w:t>
            </w:r>
          </w:p>
        </w:tc>
      </w:tr>
      <w:tr>
        <w:trPr/>
        <w:tc>
          <w:tcPr>
            <w:tcW w:w="7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(199,555</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(51,924</w:t>
            </w:r>
          </w:p>
        </w:tc>
        <w:tc>
          <w:tcPr>
            <w:tcW w:w="2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 </w:t>
            </w:r>
          </w:p>
        </w:tc>
        <w:tc>
          <w:tcPr>
            <w:tcW w:w="278" w:type="dxa"/>
            <w:tcBorders/>
            <w:shd w:fill="CCEEFF" w:val="clear"/>
            <w:vAlign w:val="center"/>
          </w:tcPr>
          <w:p>
            <w:pPr>
              <w:pStyle w:val="TableContents"/>
              <w:bidi w:val="0"/>
              <w:spacing w:before="0" w:after="283"/>
              <w:jc w:val="left"/>
              <w:rPr/>
            </w:pPr>
            <w:r>
              <w:rPr/>
              <w:t> </w:t>
            </w:r>
          </w:p>
        </w:tc>
      </w:tr>
      <w:tr>
        <w:trPr/>
        <w:tc>
          <w:tcPr>
            <w:tcW w:w="7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property, equipment and software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(21,001</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(5,552</w:t>
            </w:r>
          </w:p>
        </w:tc>
        <w:tc>
          <w:tcPr>
            <w:tcW w:w="2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disposal of property, equipment and software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3,837</w:t>
            </w:r>
          </w:p>
        </w:tc>
        <w:tc>
          <w:tcPr>
            <w:tcW w:w="2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disposal of cryptocurrency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51,107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20,749</w:t>
            </w:r>
          </w:p>
        </w:tc>
        <w:tc>
          <w:tcPr>
            <w:tcW w:w="2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cryptocurrency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(2,413</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disposal of non-current financial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2,936</w:t>
            </w:r>
          </w:p>
        </w:tc>
        <w:tc>
          <w:tcPr>
            <w:tcW w:w="2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non-current financial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2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transaction cost related to acquisition of equity investee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(1,582</w:t>
            </w:r>
          </w:p>
        </w:tc>
        <w:tc>
          <w:tcPr>
            <w:tcW w:w="2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from equity investees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3,550</w:t>
            </w:r>
          </w:p>
        </w:tc>
        <w:tc>
          <w:tcPr>
            <w:tcW w:w="2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 to equity investees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w:t>
            </w:r>
          </w:p>
        </w:tc>
        <w:tc>
          <w:tcPr>
            <w:tcW w:w="2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22,653</w:t>
            </w:r>
          </w:p>
        </w:tc>
        <w:tc>
          <w:tcPr>
            <w:tcW w:w="2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r>
      <w:tr>
        <w:trPr/>
        <w:tc>
          <w:tcPr>
            <w:tcW w:w="7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ordinary shares, net of issuance costs under At-the-Market Offering Agreements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42,222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w:t>
            </w:r>
          </w:p>
        </w:tc>
        <w:tc>
          <w:tcPr>
            <w:tcW w:w="2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convertible preferred shares, net of issuance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99,529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supplier financing arrangement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9,999</w:t>
            </w:r>
          </w:p>
        </w:tc>
        <w:tc>
          <w:tcPr>
            <w:tcW w:w="2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borrowings from long-term loan, net of issuance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9,560</w:t>
            </w:r>
          </w:p>
        </w:tc>
        <w:tc>
          <w:tcPr>
            <w:tcW w:w="2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long-term loan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(7,436</w:t>
            </w:r>
          </w:p>
        </w:tc>
        <w:tc>
          <w:tcPr>
            <w:tcW w:w="2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repurchase of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(2,135</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w:t>
            </w:r>
          </w:p>
        </w:tc>
        <w:tc>
          <w:tcPr>
            <w:tcW w:w="2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resale of treasury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2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for tax withholdings on vesting of restricted share units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2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139,616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10,858</w:t>
            </w:r>
          </w:p>
        </w:tc>
        <w:tc>
          <w:tcPr>
            <w:tcW w:w="2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decrease in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(31,763</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(18,413</w:t>
            </w:r>
          </w:p>
        </w:tc>
        <w:tc>
          <w:tcPr>
            <w:tcW w:w="2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3,641</w:t>
            </w:r>
          </w:p>
        </w:tc>
        <w:tc>
          <w:tcPr>
            <w:tcW w:w="2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at the 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96,488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80,778</w:t>
            </w:r>
          </w:p>
        </w:tc>
        <w:tc>
          <w:tcPr>
            <w:tcW w:w="2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at the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65,904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66,006</w:t>
            </w:r>
          </w:p>
        </w:tc>
        <w:tc>
          <w:tcPr>
            <w:tcW w:w="2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r>
      <w:tr>
        <w:trPr/>
        <w:tc>
          <w:tcPr>
            <w:tcW w:w="78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 </w:t>
            </w:r>
          </w:p>
        </w:tc>
        <w:tc>
          <w:tcPr>
            <w:tcW w:w="278" w:type="dxa"/>
            <w:tcBorders/>
            <w:shd w:fill="CCEEFF" w:val="clear"/>
            <w:vAlign w:val="center"/>
          </w:tcPr>
          <w:p>
            <w:pPr>
              <w:pStyle w:val="TableContents"/>
              <w:bidi w:val="0"/>
              <w:spacing w:before="0" w:after="283"/>
              <w:ind w:left="0" w:right="0" w:firstLine="200"/>
              <w:jc w:val="left"/>
              <w:rPr/>
            </w:pPr>
            <w:r>
              <w:rPr/>
              <w:t> </w:t>
            </w:r>
          </w:p>
        </w:tc>
      </w:tr>
      <w:tr>
        <w:trPr/>
        <w:tc>
          <w:tcPr>
            <w:tcW w:w="7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interest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810</w:t>
            </w:r>
          </w:p>
        </w:tc>
        <w:tc>
          <w:tcPr>
            <w:tcW w:w="9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w:t>
            </w:r>
          </w:p>
        </w:tc>
        <w:tc>
          <w:tcPr>
            <w:tcW w:w="278" w:type="dxa"/>
            <w:tcBorders/>
            <w:shd w:fill="FFFFFF" w:val="clear"/>
            <w:vAlign w:val="center"/>
          </w:tcPr>
          <w:p>
            <w:pPr>
              <w:pStyle w:val="TableContents"/>
              <w:bidi w:val="0"/>
              <w:spacing w:before="0" w:after="283"/>
              <w:jc w:val="left"/>
              <w:rPr/>
            </w:pPr>
            <w:r>
              <w:rPr/>
              <w:t> </w:t>
            </w:r>
          </w:p>
        </w:tc>
      </w:tr>
      <w:tr>
        <w:trPr/>
        <w:tc>
          <w:tcPr>
            <w:tcW w:w="7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income tax</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1,083</w:t>
            </w:r>
          </w:p>
        </w:tc>
        <w:tc>
          <w:tcPr>
            <w:tcW w:w="9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1,054</w:t>
            </w:r>
          </w:p>
        </w:tc>
        <w:tc>
          <w:tcPr>
            <w:tcW w:w="278" w:type="dxa"/>
            <w:tcBorders/>
            <w:shd w:fill="CCEEFF" w:val="clear"/>
            <w:vAlign w:val="center"/>
          </w:tcPr>
          <w:p>
            <w:pPr>
              <w:pStyle w:val="TableContents"/>
              <w:bidi w:val="0"/>
              <w:spacing w:before="0" w:after="283"/>
              <w:jc w:val="left"/>
              <w:rPr/>
            </w:pPr>
            <w:r>
              <w:rPr/>
              <w:t> </w:t>
            </w:r>
          </w:p>
        </w:tc>
      </w:tr>
      <w:tr>
        <w:trPr/>
        <w:tc>
          <w:tcPr>
            <w:tcW w:w="780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r>
      <w:tr>
        <w:trPr/>
        <w:tc>
          <w:tcPr>
            <w:tcW w:w="7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Mining equipment transfer from inventory to property, equipment and software</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24,492</w:t>
            </w:r>
          </w:p>
        </w:tc>
        <w:tc>
          <w:tcPr>
            <w:tcW w:w="9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3,129</w:t>
            </w:r>
          </w:p>
        </w:tc>
        <w:tc>
          <w:tcPr>
            <w:tcW w:w="278" w:type="dxa"/>
            <w:tcBorders/>
            <w:shd w:fill="CCEEFF" w:val="clear"/>
            <w:vAlign w:val="center"/>
          </w:tcPr>
          <w:p>
            <w:pPr>
              <w:pStyle w:val="TableContents"/>
              <w:bidi w:val="0"/>
              <w:spacing w:before="0" w:after="283"/>
              <w:jc w:val="left"/>
              <w:rPr/>
            </w:pPr>
            <w:r>
              <w:rPr/>
              <w:t> </w:t>
            </w:r>
          </w:p>
        </w:tc>
      </w:tr>
      <w:tr>
        <w:trPr/>
        <w:tc>
          <w:tcPr>
            <w:tcW w:w="78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ordinary shares pursuant to share lending arrangement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944</w:t>
            </w:r>
          </w:p>
        </w:tc>
        <w:tc>
          <w:tcPr>
            <w:tcW w:w="9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pPr>
            <w:r>
              <w:rPr/>
              <w:t>—</w:t>
            </w:r>
          </w:p>
        </w:tc>
        <w:tc>
          <w:tcPr>
            <w:tcW w:w="2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185"/>
        <w:gridCol w:w="317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3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Organization and principal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Canaan Inc., an exempted company with limited liability incorporated in the Cayman Islands, through wholly-owned subsidiaries (collectively referred to as the “Company”), is principally engaged in integrated circuit (the “IC”) design and sale of Bitcoin mining equipment and related components, with sales primarily conducted in the United States and Singapore, as well as mining activity mainly in the North America and Ethiopia.</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185"/>
        <w:gridCol w:w="368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36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75"/>
        <w:gridCol w:w="245"/>
        <w:gridCol w:w="177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w:t>
            </w:r>
          </w:p>
        </w:tc>
        <w:tc>
          <w:tcPr>
            <w:tcW w:w="1775"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Basis of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of Canaan Inc. and its subsidiaries have been prepared in accordance with accounting principles generally accepted in the United States of America (“U.S. GAAP”). Certain information and footnote disclosures normally included in financial statements prepared in accordance with U.S. GAAP have been condensed or omitted as permitted by rules and regulations of the U.S. Securities and Exchange Commission (“SEC”). The consolidated balance sheet as of December 31, 2025 was derived from the audited consolidated financial statements of the Company. The accompanying unaudited condensed consolidated financial statements should be read in conjunction with the audited consolidated financial statements of the Company as of and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adjustments (which include normal recurring adjustments) necessary to present a fair statement of the financial position as of June 30, 2026, the results of operations and cash flows for the six months ended June 30, 2025 and 2026,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unaudited condensed consolidated financial statements in accordance with U.S. GAAP requires management to make estimates and assumptions that affect the reported amounts of assets and liabilities, related disclosures of contingent assets and liabilities at the balance sheet dates, and the reported revenues and expenses during the reported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accounting estimation of valuation of convertible preferred shares, deferred tax assets, write-down for inventories and prepayments, provision for reserve for inventory purchase commitments, and impairment of property, equipment and software reflect significant judgments and estimates used in the preparation of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the estimated useful lives of its long-lived assets on an ongoing basis. In the first quarter of 2026, the Company revised the useful life of mining equipment, which are included in “Property, equipment and software”, from 1.5 years to 2 years, based on the historical and current use of the mining equipment as well as industry trends and practices. This change in estimated useful life is accounted for as a change in accounting estimate, prospectively beginning in fiscal year 2026. The effect of the change was a reduction in depreciation expense and a decrease in net loss of US$7,437 for the six months ended June 30, 2026. The effect of change in basic and diluted loss per share was a decrease of US$0.07 cent per share for the six months ended June 30, 2026.</w:t>
      </w:r>
    </w:p>
    <w:p>
      <w:pPr>
        <w:pStyle w:val="TextBody"/>
        <w:bidi w:val="0"/>
        <w:spacing w:before="0" w:after="0"/>
        <w:ind w:left="0" w:right="0" w:hanging="0"/>
        <w:jc w:val="left"/>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90"/>
        <w:gridCol w:w="25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i/>
              </w:rPr>
            </w:pPr>
            <w:r>
              <w:rPr>
                <w:b/>
                <w:i/>
              </w:rPr>
              <w:t>(b)</w:t>
            </w:r>
          </w:p>
        </w:tc>
        <w:tc>
          <w:tcPr>
            <w:tcW w:w="2510" w:type="dxa"/>
            <w:tcBorders/>
            <w:vAlign w:val="center"/>
          </w:tcPr>
          <w:p>
            <w:pPr>
              <w:pStyle w:val="TableContents"/>
              <w:bidi w:val="0"/>
              <w:spacing w:before="0" w:after="283"/>
              <w:jc w:val="left"/>
              <w:rPr>
                <w:b/>
                <w:i/>
              </w:rPr>
            </w:pPr>
            <w:r>
              <w:rPr>
                <w:b/>
                <w:i/>
              </w:rPr>
              <w:t>Fair value measurements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Company’s assets and liabilities that are measured at fair value on a recurring basis and are categorized using the fair value hierarchy:</w:t>
      </w:r>
    </w:p>
    <w:p>
      <w:pPr>
        <w:pStyle w:val="TextBody"/>
        <w:bidi w:val="0"/>
        <w:spacing w:before="0" w:after="0"/>
        <w:ind w:left="0" w:right="0" w:hanging="0"/>
        <w:jc w:val="left"/>
        <w:rPr>
          <w:caps w:val="false"/>
          <w:smallCaps w:val="false"/>
        </w:rPr>
      </w:pPr>
      <w:r>
        <w:rPr>
          <w:caps w:val="false"/>
          <w:smallCaps w:val="false"/>
        </w:rPr>
        <w:t> </w:t>
      </w:r>
    </w:p>
    <w:tbl>
      <w:tblPr>
        <w:tblW w:w="8314" w:type="dxa"/>
        <w:jc w:val="left"/>
        <w:tblInd w:w="0" w:type="dxa"/>
        <w:tblLayout w:type="fixed"/>
        <w:tblCellMar>
          <w:top w:w="0" w:type="dxa"/>
          <w:left w:w="0" w:type="dxa"/>
          <w:bottom w:w="28" w:type="dxa"/>
          <w:right w:w="0" w:type="dxa"/>
        </w:tblCellMar>
      </w:tblPr>
      <w:tblGrid>
        <w:gridCol w:w="4595"/>
        <w:gridCol w:w="60"/>
        <w:gridCol w:w="60"/>
        <w:gridCol w:w="590"/>
        <w:gridCol w:w="60"/>
        <w:gridCol w:w="60"/>
        <w:gridCol w:w="60"/>
        <w:gridCol w:w="650"/>
        <w:gridCol w:w="80"/>
        <w:gridCol w:w="60"/>
        <w:gridCol w:w="120"/>
        <w:gridCol w:w="529"/>
        <w:gridCol w:w="60"/>
        <w:gridCol w:w="60"/>
        <w:gridCol w:w="99"/>
        <w:gridCol w:w="1076"/>
        <w:gridCol w:w="95"/>
      </w:tblGrid>
      <w:tr>
        <w:trPr/>
        <w:tc>
          <w:tcPr>
            <w:tcW w:w="45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at</w:t>
              <w:br/>
              <w:t>December 31,</w:t>
              <w:br/>
              <w:t>2025</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 (Note 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receivable (Note 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87,832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87,832</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(Note 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83,339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83,339</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52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07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5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(Note 13)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(2,927</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and other current liabilities (Note 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(5,566</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loans (Note 13)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(49,711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(49,711</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6663" w:type="dxa"/>
        <w:jc w:val="left"/>
        <w:tblInd w:w="0" w:type="dxa"/>
        <w:tblLayout w:type="fixed"/>
        <w:tblCellMar>
          <w:top w:w="0" w:type="dxa"/>
          <w:left w:w="0" w:type="dxa"/>
          <w:bottom w:w="28" w:type="dxa"/>
          <w:right w:w="0" w:type="dxa"/>
        </w:tblCellMar>
      </w:tblPr>
      <w:tblGrid>
        <w:gridCol w:w="3005"/>
        <w:gridCol w:w="60"/>
        <w:gridCol w:w="60"/>
        <w:gridCol w:w="590"/>
        <w:gridCol w:w="60"/>
        <w:gridCol w:w="60"/>
        <w:gridCol w:w="60"/>
        <w:gridCol w:w="650"/>
        <w:gridCol w:w="80"/>
        <w:gridCol w:w="60"/>
        <w:gridCol w:w="120"/>
        <w:gridCol w:w="529"/>
        <w:gridCol w:w="60"/>
        <w:gridCol w:w="60"/>
        <w:gridCol w:w="93"/>
        <w:gridCol w:w="1021"/>
        <w:gridCol w:w="95"/>
      </w:tblGrid>
      <w:tr>
        <w:trPr/>
        <w:tc>
          <w:tcPr>
            <w:tcW w:w="300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at</w:t>
              <w:br/>
              <w:t xml:space="preserve">June 30, </w:t>
              <w:br/>
              <w:t>2026</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receivable (Note 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70,925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70,925</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(Note 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47,019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47,019</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52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02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(Note 13)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loans (Note 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(48,687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(48,687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jc w:val="left"/>
        <w:rPr>
          <w:caps w:val="false"/>
          <w:smallCaps w:val="false"/>
        </w:rPr>
      </w:pPr>
      <w:r>
        <w:rPr>
          <w:caps w:val="false"/>
          <w:smallCaps w:val="false"/>
        </w:rPr>
        <w:t> </w:t>
      </w:r>
    </w:p>
    <w:tbl>
      <w:tblPr>
        <w:tblW w:w="760" w:type="dxa"/>
        <w:jc w:val="left"/>
        <w:tblInd w:w="0" w:type="dxa"/>
        <w:tblLayout w:type="fixed"/>
        <w:tblCellMar>
          <w:top w:w="0" w:type="dxa"/>
          <w:left w:w="0" w:type="dxa"/>
          <w:bottom w:w="0" w:type="dxa"/>
          <w:right w:w="0" w:type="dxa"/>
        </w:tblCellMar>
      </w:tblPr>
      <w:tblGrid>
        <w:gridCol w:w="75"/>
        <w:gridCol w:w="230"/>
        <w:gridCol w:w="4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w:t>
            </w:r>
          </w:p>
        </w:tc>
        <w:tc>
          <w:tcPr>
            <w:tcW w:w="455"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Cash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represents bank deposits placed with banks or other financial institutions, which are unrestricted as to withdrawal or use.</w:t>
      </w:r>
    </w:p>
    <w:p>
      <w:pPr>
        <w:pStyle w:val="TextBody"/>
        <w:bidi w:val="0"/>
        <w:spacing w:before="0" w:after="0"/>
        <w:ind w:left="0" w:right="0" w:hanging="0"/>
        <w:jc w:val="left"/>
        <w:rPr>
          <w:caps w:val="false"/>
          <w:smallCaps w:val="false"/>
        </w:rPr>
      </w:pPr>
      <w:r>
        <w:rPr>
          <w:caps w:val="false"/>
          <w:smallCaps w:val="false"/>
        </w:rPr>
        <w:t> </w:t>
      </w:r>
    </w:p>
    <w:tbl>
      <w:tblPr>
        <w:tblW w:w="8263" w:type="dxa"/>
        <w:jc w:val="left"/>
        <w:tblInd w:w="0" w:type="dxa"/>
        <w:tblLayout w:type="fixed"/>
        <w:tblCellMar>
          <w:top w:w="0" w:type="dxa"/>
          <w:left w:w="0" w:type="dxa"/>
          <w:bottom w:w="0" w:type="dxa"/>
          <w:right w:w="0" w:type="dxa"/>
        </w:tblCellMar>
      </w:tblPr>
      <w:tblGrid>
        <w:gridCol w:w="6110"/>
        <w:gridCol w:w="60"/>
        <w:gridCol w:w="108"/>
        <w:gridCol w:w="1066"/>
        <w:gridCol w:w="60"/>
        <w:gridCol w:w="60"/>
        <w:gridCol w:w="66"/>
        <w:gridCol w:w="658"/>
        <w:gridCol w:w="75"/>
      </w:tblGrid>
      <w:tr>
        <w:trPr/>
        <w:tc>
          <w:tcPr>
            <w:tcW w:w="61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 denominated bank deposits with financial institutions in the 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institutions in the PRC</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 denominated bank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 denominated bank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denominated bank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3,273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institutions in Singapore</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 denominated bank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dollar (SGD) denominated bank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denominated bank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53,838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5,715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deposits with other overseas financial institutions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80,778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66,006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deposits with financial institutions in the mainland of the PRC, Hong Kong, United States, Singapore, Malaysia and Kahzakhstan are insured by the government authorities up to RMB500, HKD500, US$250, SGD100, Malaysia Ringgit (MYR) 250 and Kahzakhstan Tenge (KZT) 15,000 per bank, respectively. The bank deposits are insured by the government authorities with amounts up to US$2,831 and US$3,059 as of December 31, 2025 and June 30, 2026, respectively. The Company has not experienced any losses in uninsured bank deposits and does not believe that it is exposed to any significant risks on cash held in bank accounts. To limit exposure to credit risk, the Company primarily places bank deposits with large financial institutions in the PRC mainland, United States, and Singapore with acceptable credit rating.</w:t>
      </w:r>
    </w:p>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245"/>
        <w:gridCol w:w="161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w:t>
            </w:r>
          </w:p>
        </w:tc>
        <w:tc>
          <w:tcPr>
            <w:tcW w:w="1610"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Contract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prepayments received from customers as of December 31, 2025 and June 30, 2026 was US$9,317 and US$4,107, respectively. The revenue recognized during the six months ended June 30, 2025 and 2026 for the beginning balance of contract liability was US$22,322 and US$5,513, respectively.</w:t>
      </w:r>
    </w:p>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75"/>
        <w:gridCol w:w="230"/>
        <w:gridCol w:w="248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w:t>
            </w:r>
          </w:p>
        </w:tc>
        <w:tc>
          <w:tcPr>
            <w:tcW w:w="2480"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Investment in equity investees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equity investees represent investments in entities in which the Company can exercise significant influence but does not own a majority equity interest or control and are accounted for using the equity method of accounting in accordance with ASC Subtopic 323-10, Investments-Equity Method and Joint Ventures: Overall (“ASC 323-10”). Under the equity method, the Company initially records its investment at cost and prospectively recognizes its proportionate share of each equity investee’s net profit or loss into its consolidated statements of operations. A difference between the cost of an investment and the amount of underlying equity in net assets of an investee shall be accounted for as if the investee were a consolidated subsidiary. If the difference is assigned to depreciable or amortizable assets or liabilities, then the difference should be amortized or accreted in connection with the equity earnings based on the Company’s proportionate share of the investee’s net income or loss. The Company evaluates its equity method investments for impairment under ASC 323-10. An impairment loss on the equity method investments is recognized in the consolidated statements of operations when the decline in value is determined to be other-than-temporary.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185"/>
        <w:gridCol w:w="206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20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Risks and concentration</w:t>
            </w:r>
          </w:p>
        </w:tc>
      </w:tr>
    </w:tbl>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75"/>
        <w:gridCol w:w="245"/>
        <w:gridCol w:w="233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w:t>
            </w:r>
          </w:p>
        </w:tc>
        <w:tc>
          <w:tcPr>
            <w:tcW w:w="2330"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Concentration of credit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June 30, 2026, accounts receivable were US$19,290 and US$1,725,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concentration of credit risk is as below:</w:t>
      </w:r>
    </w:p>
    <w:p>
      <w:pPr>
        <w:pStyle w:val="TextBody"/>
        <w:bidi w:val="0"/>
        <w:spacing w:before="0" w:after="0"/>
        <w:ind w:left="0" w:right="0" w:hanging="0"/>
        <w:jc w:val="left"/>
        <w:rPr>
          <w:caps w:val="false"/>
          <w:smallCaps w:val="false"/>
        </w:rPr>
      </w:pPr>
      <w:r>
        <w:rPr>
          <w:caps w:val="false"/>
          <w:smallCaps w:val="false"/>
        </w:rPr>
        <w:t> </w:t>
      </w:r>
    </w:p>
    <w:tbl>
      <w:tblPr>
        <w:tblW w:w="3398" w:type="dxa"/>
        <w:jc w:val="left"/>
        <w:tblInd w:w="0" w:type="dxa"/>
        <w:tblLayout w:type="fixed"/>
        <w:tblCellMar>
          <w:top w:w="0" w:type="dxa"/>
          <w:left w:w="0" w:type="dxa"/>
          <w:bottom w:w="0" w:type="dxa"/>
          <w:right w:w="0" w:type="dxa"/>
        </w:tblCellMar>
      </w:tblPr>
      <w:tblGrid>
        <w:gridCol w:w="995"/>
        <w:gridCol w:w="60"/>
        <w:gridCol w:w="242"/>
        <w:gridCol w:w="932"/>
        <w:gridCol w:w="185"/>
        <w:gridCol w:w="60"/>
        <w:gridCol w:w="149"/>
        <w:gridCol w:w="575"/>
        <w:gridCol w:w="200"/>
      </w:tblGrid>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December 31,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June 30,</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and 2026, customer which contributed more than 10% of total revenue is as below:</w:t>
      </w:r>
    </w:p>
    <w:p>
      <w:pPr>
        <w:pStyle w:val="TextBody"/>
        <w:bidi w:val="0"/>
        <w:spacing w:before="0" w:after="0"/>
        <w:ind w:left="0" w:right="0" w:hanging="0"/>
        <w:jc w:val="left"/>
        <w:rPr>
          <w:caps w:val="false"/>
          <w:smallCaps w:val="false"/>
        </w:rPr>
      </w:pPr>
      <w:r>
        <w:rPr>
          <w:caps w:val="false"/>
          <w:smallCaps w:val="false"/>
        </w:rPr>
        <w:t> </w:t>
      </w:r>
    </w:p>
    <w:tbl>
      <w:tblPr>
        <w:tblW w:w="3374" w:type="dxa"/>
        <w:jc w:val="left"/>
        <w:tblInd w:w="0" w:type="dxa"/>
        <w:tblLayout w:type="fixed"/>
        <w:tblCellMar>
          <w:top w:w="0" w:type="dxa"/>
          <w:left w:w="0" w:type="dxa"/>
          <w:bottom w:w="0" w:type="dxa"/>
          <w:right w:w="0" w:type="dxa"/>
        </w:tblCellMar>
      </w:tblPr>
      <w:tblGrid>
        <w:gridCol w:w="995"/>
        <w:gridCol w:w="60"/>
        <w:gridCol w:w="154"/>
        <w:gridCol w:w="591"/>
        <w:gridCol w:w="475"/>
        <w:gridCol w:w="154"/>
        <w:gridCol w:w="154"/>
        <w:gridCol w:w="591"/>
        <w:gridCol w:w="200"/>
      </w:tblGrid>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br/>
              <w:t>June 30,</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475"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left"/>
              <w:rPr>
                <w:caps w:val="false"/>
                <w:smallCaps w:val="false"/>
              </w:rPr>
            </w:pPr>
            <w:r>
              <w:rPr>
                <w:caps w:val="false"/>
                <w:smallCaps w:val="false"/>
              </w:rPr>
              <w:t> </w:t>
            </w:r>
          </w:p>
        </w:tc>
        <w:tc>
          <w:tcPr>
            <w:tcW w:w="7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10%</w:t>
      </w:r>
    </w:p>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75"/>
        <w:gridCol w:w="245"/>
        <w:gridCol w:w="19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(b)</w:t>
            </w:r>
          </w:p>
        </w:tc>
        <w:tc>
          <w:tcPr>
            <w:tcW w:w="1940"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Supplier concentration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and 2026, the Company’s purchases substantially all its integrated circuits from one supplier.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only a limited number of manufacturers for such integrated circuits are available, management believes that they could change their suppliers within these manufacturers which provided integrated circuits on comparable terms. A change in suppliers, however, could cause a delay in manufacturing and a possible loss of sales, which would affect operating results adversely.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215"/>
        <w:gridCol w:w="2495"/>
      </w:tblGrid>
      <w:tr>
        <w:trPr/>
        <w:tc>
          <w:tcPr>
            <w:tcW w:w="215" w:type="dxa"/>
            <w:tcBorders/>
            <w:vAlign w:val="center"/>
          </w:tcPr>
          <w:p>
            <w:pPr>
              <w:pStyle w:val="TableContents"/>
              <w:bidi w:val="0"/>
              <w:spacing w:before="0" w:after="283"/>
              <w:jc w:val="left"/>
              <w:rPr>
                <w:b/>
              </w:rPr>
            </w:pPr>
            <w:r>
              <w:rPr>
                <w:b/>
              </w:rPr>
              <w:t>4.</w:t>
            </w:r>
          </w:p>
        </w:tc>
        <w:tc>
          <w:tcPr>
            <w:tcW w:w="2495" w:type="dxa"/>
            <w:tcBorders/>
            <w:vAlign w:val="center"/>
          </w:tcPr>
          <w:p>
            <w:pPr>
              <w:pStyle w:val="TableContents"/>
              <w:bidi w:val="0"/>
              <w:spacing w:before="0" w:after="283"/>
              <w:jc w:val="both"/>
              <w:rPr>
                <w:b/>
              </w:rPr>
            </w:pPr>
            <w:r>
              <w:rPr>
                <w:b/>
              </w:rPr>
              <w:t>Accounts receivable,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 of the following:</w:t>
      </w:r>
    </w:p>
    <w:p>
      <w:pPr>
        <w:pStyle w:val="TextBody"/>
        <w:bidi w:val="0"/>
        <w:spacing w:before="0" w:after="0"/>
        <w:ind w:left="0" w:right="0" w:hanging="0"/>
        <w:jc w:val="left"/>
        <w:rPr>
          <w:caps w:val="false"/>
          <w:smallCaps w:val="false"/>
        </w:rPr>
      </w:pPr>
      <w:r>
        <w:rPr>
          <w:caps w:val="false"/>
          <w:smallCaps w:val="false"/>
        </w:rPr>
        <w:t> </w:t>
      </w:r>
    </w:p>
    <w:tbl>
      <w:tblPr>
        <w:tblW w:w="6233" w:type="dxa"/>
        <w:jc w:val="left"/>
        <w:tblInd w:w="0" w:type="dxa"/>
        <w:tblLayout w:type="fixed"/>
        <w:tblCellMar>
          <w:top w:w="0" w:type="dxa"/>
          <w:left w:w="0" w:type="dxa"/>
          <w:bottom w:w="0" w:type="dxa"/>
          <w:right w:w="0" w:type="dxa"/>
        </w:tblCellMar>
      </w:tblPr>
      <w:tblGrid>
        <w:gridCol w:w="3110"/>
        <w:gridCol w:w="60"/>
        <w:gridCol w:w="149"/>
        <w:gridCol w:w="1490"/>
        <w:gridCol w:w="80"/>
        <w:gridCol w:w="60"/>
        <w:gridCol w:w="131"/>
        <w:gridCol w:w="1058"/>
        <w:gridCol w:w="95"/>
      </w:tblGrid>
      <w:tr>
        <w:trPr/>
        <w:tc>
          <w:tcPr>
            <w:tcW w:w="31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allowance for doubtful accounts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the allowance for doubtful accounts is as follows:</w:t>
      </w:r>
    </w:p>
    <w:p>
      <w:pPr>
        <w:pStyle w:val="TextBody"/>
        <w:bidi w:val="0"/>
        <w:spacing w:before="0" w:after="0"/>
        <w:ind w:left="0" w:right="0" w:hanging="0"/>
        <w:jc w:val="left"/>
        <w:rPr>
          <w:caps w:val="false"/>
          <w:smallCaps w:val="false"/>
        </w:rPr>
      </w:pPr>
      <w:r>
        <w:rPr>
          <w:caps w:val="false"/>
          <w:smallCaps w:val="false"/>
        </w:rPr>
        <w:t> </w:t>
      </w:r>
    </w:p>
    <w:tbl>
      <w:tblPr>
        <w:tblW w:w="5504" w:type="dxa"/>
        <w:jc w:val="left"/>
        <w:tblInd w:w="0" w:type="dxa"/>
        <w:tblLayout w:type="fixed"/>
        <w:tblCellMar>
          <w:top w:w="0" w:type="dxa"/>
          <w:left w:w="0" w:type="dxa"/>
          <w:bottom w:w="0" w:type="dxa"/>
          <w:right w:w="0" w:type="dxa"/>
        </w:tblCellMar>
      </w:tblPr>
      <w:tblGrid>
        <w:gridCol w:w="3200"/>
        <w:gridCol w:w="60"/>
        <w:gridCol w:w="100"/>
        <w:gridCol w:w="808"/>
        <w:gridCol w:w="133"/>
        <w:gridCol w:w="100"/>
        <w:gridCol w:w="100"/>
        <w:gridCol w:w="908"/>
        <w:gridCol w:w="95"/>
      </w:tblGrid>
      <w:tr>
        <w:trPr/>
        <w:tc>
          <w:tcPr>
            <w:tcW w:w="3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14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br/>
              <w:t>June 30,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33" w:type="dxa"/>
            <w:tcBorders/>
            <w:vAlign w:val="center"/>
          </w:tcPr>
          <w:p>
            <w:pPr>
              <w:pStyle w:val="TableContents"/>
              <w:bidi w:val="0"/>
              <w:spacing w:before="0" w:after="283"/>
              <w:jc w:val="center"/>
              <w:rPr>
                <w:caps w:val="false"/>
                <w:smallCaps w:val="false"/>
              </w:rPr>
            </w:pPr>
            <w:r>
              <w:rPr>
                <w:caps w:val="false"/>
                <w:smallCaps w:val="false"/>
              </w:rPr>
              <w:t> </w:t>
            </w:r>
          </w:p>
        </w:tc>
        <w:tc>
          <w:tcPr>
            <w:tcW w:w="100" w:type="dxa"/>
            <w:tcBorders/>
            <w:vAlign w:val="center"/>
          </w:tcPr>
          <w:p>
            <w:pPr>
              <w:pStyle w:val="TableContents"/>
              <w:bidi w:val="0"/>
              <w:spacing w:before="0" w:after="283"/>
              <w:jc w:val="center"/>
              <w:rPr>
                <w:caps w:val="false"/>
                <w:smallCaps w:val="false"/>
              </w:rPr>
            </w:pPr>
            <w:r>
              <w:rPr>
                <w:caps w:val="false"/>
                <w:smallCaps w:val="false"/>
              </w:rPr>
              <w:t> </w:t>
            </w:r>
          </w:p>
        </w:tc>
        <w:tc>
          <w:tcPr>
            <w:tcW w:w="10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the beginning of the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1,093</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charged to bad debt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Write-off of bad debt allowance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 Balance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185"/>
        <w:gridCol w:w="99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9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Inventories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consist of the following:</w:t>
      </w:r>
    </w:p>
    <w:p>
      <w:pPr>
        <w:pStyle w:val="TextBody"/>
        <w:bidi w:val="0"/>
        <w:spacing w:before="0" w:after="0"/>
        <w:ind w:left="0" w:right="0" w:hanging="0"/>
        <w:jc w:val="left"/>
        <w:rPr>
          <w:caps w:val="false"/>
          <w:smallCaps w:val="false"/>
        </w:rPr>
      </w:pPr>
      <w:r>
        <w:rPr>
          <w:caps w:val="false"/>
          <w:smallCaps w:val="false"/>
        </w:rPr>
        <w:t> </w:t>
      </w:r>
    </w:p>
    <w:tbl>
      <w:tblPr>
        <w:tblW w:w="3524" w:type="dxa"/>
        <w:jc w:val="left"/>
        <w:tblInd w:w="0" w:type="dxa"/>
        <w:tblLayout w:type="fixed"/>
        <w:tblCellMar>
          <w:top w:w="0" w:type="dxa"/>
          <w:left w:w="0" w:type="dxa"/>
          <w:bottom w:w="0" w:type="dxa"/>
          <w:right w:w="0" w:type="dxa"/>
        </w:tblCellMar>
      </w:tblPr>
      <w:tblGrid>
        <w:gridCol w:w="1340"/>
        <w:gridCol w:w="60"/>
        <w:gridCol w:w="92"/>
        <w:gridCol w:w="1082"/>
        <w:gridCol w:w="60"/>
        <w:gridCol w:w="60"/>
        <w:gridCol w:w="60"/>
        <w:gridCol w:w="695"/>
        <w:gridCol w:w="75"/>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Raw materials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99,769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71,754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 in process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16,555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Finished goods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40,526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180,816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128,835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and 2026, the Company recorded write-down of US$3,465 and US$44,039 in cost of revenues, respectively.</w:t>
      </w:r>
    </w:p>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185"/>
        <w:gridCol w:w="320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32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Prepayments and other current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prepayments and other current assets consist of the following:</w:t>
      </w:r>
    </w:p>
    <w:p>
      <w:pPr>
        <w:pStyle w:val="TextBody"/>
        <w:bidi w:val="0"/>
        <w:spacing w:before="0" w:after="0"/>
        <w:ind w:left="0" w:right="0" w:hanging="0"/>
        <w:jc w:val="left"/>
        <w:rPr>
          <w:caps w:val="false"/>
          <w:smallCaps w:val="false"/>
        </w:rPr>
      </w:pPr>
      <w:r>
        <w:rPr>
          <w:caps w:val="false"/>
          <w:smallCaps w:val="false"/>
        </w:rPr>
        <w:t> </w:t>
      </w:r>
    </w:p>
    <w:tbl>
      <w:tblPr>
        <w:tblW w:w="4813" w:type="dxa"/>
        <w:jc w:val="left"/>
        <w:tblInd w:w="0" w:type="dxa"/>
        <w:tblLayout w:type="fixed"/>
        <w:tblCellMar>
          <w:top w:w="0" w:type="dxa"/>
          <w:left w:w="0" w:type="dxa"/>
          <w:bottom w:w="0" w:type="dxa"/>
          <w:right w:w="0" w:type="dxa"/>
        </w:tblCellMar>
      </w:tblPr>
      <w:tblGrid>
        <w:gridCol w:w="2660"/>
        <w:gridCol w:w="60"/>
        <w:gridCol w:w="108"/>
        <w:gridCol w:w="1066"/>
        <w:gridCol w:w="60"/>
        <w:gridCol w:w="60"/>
        <w:gridCol w:w="66"/>
        <w:gridCol w:w="658"/>
        <w:gridCol w:w="75"/>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VAT recoverable and refund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53,226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to vendors (Note 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22,468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charges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 Prepayments to vendors mainly represent prepayments made to third-party suppliers for foundry services. The Company also records a write-down for the prepayment to third-party suppliers when the Company believes that the net realizable value (being the estimated selling price of final products, less the costs of completion and selling expenses) is less than carrying amount. During the six months ended June 30, 2025 and 2026, the Company recorded write-downs of US$5 and US$860 for the prepayment to third-party suppliers in cost of revenues.</w:t>
      </w:r>
    </w:p>
    <w:p>
      <w:pPr>
        <w:pStyle w:val="TextBody"/>
        <w:bidi w:val="0"/>
        <w:spacing w:before="0" w:after="0"/>
        <w:ind w:left="0" w:right="0" w:hanging="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185"/>
        <w:gridCol w:w="140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14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Cryptocurrency</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consist of the following:</w:t>
      </w:r>
    </w:p>
    <w:p>
      <w:pPr>
        <w:pStyle w:val="TextBody"/>
        <w:bidi w:val="0"/>
        <w:spacing w:before="0" w:after="0"/>
        <w:ind w:left="0" w:right="0" w:hanging="0"/>
        <w:jc w:val="left"/>
        <w:rPr>
          <w:caps w:val="false"/>
          <w:smallCaps w:val="false"/>
        </w:rPr>
      </w:pPr>
      <w:r>
        <w:rPr>
          <w:caps w:val="false"/>
          <w:smallCaps w:val="false"/>
        </w:rPr>
        <w:t> </w:t>
      </w:r>
    </w:p>
    <w:tbl>
      <w:tblPr>
        <w:tblW w:w="8750" w:type="dxa"/>
        <w:jc w:val="left"/>
        <w:tblInd w:w="0" w:type="dxa"/>
        <w:tblLayout w:type="fixed"/>
        <w:tblCellMar>
          <w:top w:w="0" w:type="dxa"/>
          <w:left w:w="0" w:type="dxa"/>
          <w:bottom w:w="0" w:type="dxa"/>
          <w:right w:w="0" w:type="dxa"/>
        </w:tblCellMar>
      </w:tblPr>
      <w:tblGrid>
        <w:gridCol w:w="2825"/>
        <w:gridCol w:w="60"/>
        <w:gridCol w:w="770"/>
        <w:gridCol w:w="60"/>
        <w:gridCol w:w="60"/>
        <w:gridCol w:w="890"/>
        <w:gridCol w:w="60"/>
        <w:gridCol w:w="60"/>
        <w:gridCol w:w="935"/>
        <w:gridCol w:w="60"/>
        <w:gridCol w:w="60"/>
        <w:gridCol w:w="770"/>
        <w:gridCol w:w="60"/>
        <w:gridCol w:w="60"/>
        <w:gridCol w:w="890"/>
        <w:gridCol w:w="60"/>
        <w:gridCol w:w="60"/>
        <w:gridCol w:w="935"/>
        <w:gridCol w:w="75"/>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35"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of December 31, </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35"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of June 30, </w:t>
              <w:b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quantity)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Basis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Basis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40,708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127,138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136,816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Cryptocurrency</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47,019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about cryptocurrency consists of the following:</w:t>
      </w:r>
    </w:p>
    <w:p>
      <w:pPr>
        <w:pStyle w:val="TextBody"/>
        <w:bidi w:val="0"/>
        <w:spacing w:before="0" w:after="0"/>
        <w:ind w:left="0" w:right="0" w:hanging="0"/>
        <w:jc w:val="left"/>
        <w:rPr>
          <w:caps w:val="false"/>
          <w:smallCaps w:val="false"/>
        </w:rPr>
      </w:pPr>
      <w:r>
        <w:rPr>
          <w:caps w:val="false"/>
          <w:smallCaps w:val="false"/>
        </w:rPr>
        <w:t> </w:t>
      </w:r>
    </w:p>
    <w:tbl>
      <w:tblPr>
        <w:tblW w:w="8669" w:type="dxa"/>
        <w:jc w:val="left"/>
        <w:tblInd w:w="0" w:type="dxa"/>
        <w:tblLayout w:type="fixed"/>
        <w:tblCellMar>
          <w:top w:w="0" w:type="dxa"/>
          <w:left w:w="0" w:type="dxa"/>
          <w:bottom w:w="0" w:type="dxa"/>
          <w:right w:w="0" w:type="dxa"/>
        </w:tblCellMar>
      </w:tblPr>
      <w:tblGrid>
        <w:gridCol w:w="6350"/>
        <w:gridCol w:w="60"/>
        <w:gridCol w:w="83"/>
        <w:gridCol w:w="902"/>
        <w:gridCol w:w="111"/>
        <w:gridCol w:w="83"/>
        <w:gridCol w:w="83"/>
        <w:gridCol w:w="902"/>
        <w:gridCol w:w="95"/>
      </w:tblGrid>
      <w:tr>
        <w:trPr/>
        <w:tc>
          <w:tcPr>
            <w:tcW w:w="6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six months ended </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1"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61,821</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83,339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recognized on acceptance of cryptocurrency*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74,383</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40,786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received under long-term loans agreements*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20,742</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received as customer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2,564</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cryptocurrency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2,413</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 of cryptocurrency as prepayment*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1,626</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Pledged and derecognized cryptocurrency under long-term loans agreements*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(31,099</w:t>
            </w:r>
          </w:p>
        </w:tc>
        <w:tc>
          <w:tcPr>
            <w:tcW w:w="1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 of cryptocurrency as customer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1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recognized on payment of cryptocurrency*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(27,592</w:t>
            </w:r>
          </w:p>
        </w:tc>
        <w:tc>
          <w:tcPr>
            <w:tcW w:w="1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(16,228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disposal of cryptocurrency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(51,107</w:t>
            </w:r>
          </w:p>
        </w:tc>
        <w:tc>
          <w:tcPr>
            <w:tcW w:w="1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(20,749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cryptocurrency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8,312</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(34,211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Balance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61,845</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non-cash investing or financing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185"/>
        <w:gridCol w:w="233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23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Cryptocurrency receivable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receivable consist of the following:</w:t>
      </w:r>
    </w:p>
    <w:p>
      <w:pPr>
        <w:pStyle w:val="TextBody"/>
        <w:bidi w:val="0"/>
        <w:spacing w:before="0" w:after="0"/>
        <w:ind w:left="0" w:right="0" w:hanging="0"/>
        <w:jc w:val="left"/>
        <w:rPr>
          <w:caps w:val="false"/>
          <w:smallCaps w:val="false"/>
        </w:rPr>
      </w:pPr>
      <w:r>
        <w:rPr>
          <w:caps w:val="false"/>
          <w:smallCaps w:val="false"/>
        </w:rPr>
        <w:t> </w:t>
      </w:r>
    </w:p>
    <w:tbl>
      <w:tblPr>
        <w:tblW w:w="9184" w:type="dxa"/>
        <w:jc w:val="left"/>
        <w:tblInd w:w="0" w:type="dxa"/>
        <w:tblLayout w:type="fixed"/>
        <w:tblCellMar>
          <w:top w:w="0" w:type="dxa"/>
          <w:left w:w="0" w:type="dxa"/>
          <w:bottom w:w="0" w:type="dxa"/>
          <w:right w:w="0" w:type="dxa"/>
        </w:tblCellMar>
      </w:tblPr>
      <w:tblGrid>
        <w:gridCol w:w="5225"/>
        <w:gridCol w:w="60"/>
        <w:gridCol w:w="820"/>
        <w:gridCol w:w="63"/>
        <w:gridCol w:w="63"/>
        <w:gridCol w:w="85"/>
        <w:gridCol w:w="849"/>
        <w:gridCol w:w="60"/>
        <w:gridCol w:w="60"/>
        <w:gridCol w:w="770"/>
        <w:gridCol w:w="60"/>
        <w:gridCol w:w="60"/>
        <w:gridCol w:w="86"/>
        <w:gridCol w:w="848"/>
        <w:gridCol w:w="75"/>
      </w:tblGrid>
      <w:tr>
        <w:trPr/>
        <w:tc>
          <w:tcPr>
            <w:tcW w:w="52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0"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24"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b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2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quantity)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Quantity</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Bitcoins transferred to fixed term product (Note 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pledged for current portion of long-term loans (Note 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23,311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receivable, current</w:t>
            </w:r>
          </w:p>
        </w:tc>
        <w:tc>
          <w:tcPr>
            <w:tcW w:w="6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29,139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2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pledged for long-term loans (Note 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41,786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receivable, non-current</w:t>
            </w:r>
          </w:p>
        </w:tc>
        <w:tc>
          <w:tcPr>
            <w:tcW w:w="6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41,786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 On December 23, 2024, the Company transferred 100 Bitcoins to a crypto assets exchange institution to purchase a fixed term investment product with a minimum annual return of 1% for one year and the Company extended for another one year in December 2025.</w:t>
      </w:r>
    </w:p>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185"/>
        <w:gridCol w:w="324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32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Property, equipment and software,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equipment and software consist of the following:</w:t>
      </w:r>
    </w:p>
    <w:p>
      <w:pPr>
        <w:pStyle w:val="TextBody"/>
        <w:bidi w:val="0"/>
        <w:spacing w:before="0" w:after="0"/>
        <w:ind w:left="0" w:right="0" w:hanging="0"/>
        <w:jc w:val="left"/>
        <w:rPr>
          <w:caps w:val="false"/>
          <w:smallCaps w:val="false"/>
        </w:rPr>
      </w:pPr>
      <w:r>
        <w:rPr>
          <w:caps w:val="false"/>
          <w:smallCaps w:val="false"/>
        </w:rPr>
        <w:t> </w:t>
      </w:r>
    </w:p>
    <w:tbl>
      <w:tblPr>
        <w:tblW w:w="6354" w:type="dxa"/>
        <w:jc w:val="left"/>
        <w:tblInd w:w="0" w:type="dxa"/>
        <w:tblLayout w:type="fixed"/>
        <w:tblCellMar>
          <w:top w:w="0" w:type="dxa"/>
          <w:left w:w="0" w:type="dxa"/>
          <w:bottom w:w="0" w:type="dxa"/>
          <w:right w:w="0" w:type="dxa"/>
        </w:tblCellMar>
      </w:tblPr>
      <w:tblGrid>
        <w:gridCol w:w="4070"/>
        <w:gridCol w:w="60"/>
        <w:gridCol w:w="86"/>
        <w:gridCol w:w="1088"/>
        <w:gridCol w:w="80"/>
        <w:gridCol w:w="60"/>
        <w:gridCol w:w="60"/>
        <w:gridCol w:w="755"/>
        <w:gridCol w:w="95"/>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126,691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Computers and electronic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Mechanical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in progress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 vehicles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154,845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145,834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Accumulated 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(110,817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(118,446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equipment and software,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during the six months ended June 30, 2025 and 2026 was US$19,064 and US$14,009, respectively. The Company recognized impairment of nil and US$9,220 during the six months ended June 30, 2025 and 2026,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290"/>
        <w:gridCol w:w="254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25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Investment in equity investees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2026, the Company, through a wholly-owned subsidiary, acquired a 49% equity interest in each of Alborz LLC, Bear LLC and Chief Mountain LLC (collectively, the "ABC Projects") from Cipher Mining Technologies Inc. ("Cipher"). As part of the same transaction, the Company also purchased 6,840 mining equipment from Cipher. The Company issued 53,762,660 ADSs (806,439,900 Class A ordinary shares) to Cipher as consideration for the acquired equity interest and mining equipment, with the fair value of US$24,801 on the settlement date.The issued ADSs are subject to a lock-up period of six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2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 controlling voting interest in, and its investment does not meet the definition of a variable interest entity under ASC 810 with respect to, any of the ABC Projects. However, the Company has the ability to exercise significant influence over the operating and financial policies of each of the ABC Projects. Accordingly, the Company accounts for its 49% equity interest in each of the ABC Projects under the equity method of accounting in accordance with ASC 323, Investments—Equity Method and Joint Ventures.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2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initially recorded its investment in the equity interests of the ABC Projects at cost of US$15,878, representing the fair value of the consideration allocated to the equity interests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2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acquisition date, the fair value of the mining equipment held by the ABC Projects was lower than their historical cost as recorded by each of the ABC Projects, resulting in a basis difference between the Company's share of carrying amount of its equity method investments and its proportionate share of the underlying net assets of the ABC Projects. The initial basis difference was US$26,194. The Company accretes this basis difference over the remaining expected depreciation period of the underlying mining equipment, with the accretion recorded each period within equity in net losses of equity investees in the consolidated statements of comprehensive loss, until the related mining equipment are fully depreciated by the ABC Projects and the corresponding basis difference is fully accreted.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2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and May 2026, the Company delivered an aggregate of 3,600 used mining equipment to Bear LLC and Chief Mountain LLC, among which 49% of the consideration was treated as capital contributions and the remaining 51% of the consideration of US$3,527 was settled by cash by Bear LLC and Chief Mountain LLC through funding from the other investor. The Company recorded the gain from the sale of used mining equipment of US$856 in the gain on disposal of property, equipment and software. The capital contributions by the Company were recorded at the cost of US$3,130, plus associated sales tax of US$258, which increased the carrying value of the Company's investments in equity investees. No basis difference arose from these contributions, as the fair value of the contributed mining equipment approximated their cost at the time of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investment in equity investees for the six months ended June 30, 2026 consist of the following:</w:t>
      </w:r>
    </w:p>
    <w:p>
      <w:pPr>
        <w:pStyle w:val="TextBody"/>
        <w:bidi w:val="0"/>
        <w:spacing w:before="0" w:after="0"/>
        <w:ind w:left="0" w:right="0" w:hanging="0"/>
        <w:jc w:val="left"/>
        <w:rPr>
          <w:caps w:val="false"/>
          <w:smallCaps w:val="false"/>
        </w:rPr>
      </w:pPr>
      <w:r>
        <w:rPr>
          <w:caps w:val="false"/>
          <w:smallCaps w:val="false"/>
        </w:rPr>
        <w:t> </w:t>
      </w:r>
    </w:p>
    <w:tbl>
      <w:tblPr>
        <w:tblW w:w="6614" w:type="dxa"/>
        <w:jc w:val="left"/>
        <w:tblInd w:w="0" w:type="dxa"/>
        <w:tblLayout w:type="fixed"/>
        <w:tblCellMar>
          <w:top w:w="0" w:type="dxa"/>
          <w:left w:w="0" w:type="dxa"/>
          <w:bottom w:w="0" w:type="dxa"/>
          <w:right w:w="0" w:type="dxa"/>
        </w:tblCellMar>
      </w:tblPr>
      <w:tblGrid>
        <w:gridCol w:w="4730"/>
        <w:gridCol w:w="60"/>
        <w:gridCol w:w="145"/>
        <w:gridCol w:w="1584"/>
        <w:gridCol w:w="95"/>
      </w:tblGrid>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 equity</w:t>
              <w:br/>
              <w:t>investees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balance as of January 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capital contribution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15,878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mining equipment contributed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basis differences related to initial acquisition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net losses of equity investees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distribution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balance as of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290"/>
        <w:gridCol w:w="327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32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Accrued liabilities and other liabilities</w:t>
            </w:r>
          </w:p>
        </w:tc>
      </w:tr>
    </w:tbl>
    <w:p>
      <w:pPr>
        <w:pStyle w:val="TextBody"/>
        <w:bidi w:val="0"/>
        <w:spacing w:before="0" w:after="0"/>
        <w:ind w:left="0" w:right="0" w:hanging="0"/>
        <w:jc w:val="left"/>
        <w:rPr>
          <w:caps w:val="false"/>
          <w:smallCaps w:val="false"/>
        </w:rPr>
      </w:pPr>
      <w:r>
        <w:rPr>
          <w:caps w:val="false"/>
          <w:smallCaps w:val="false"/>
        </w:rPr>
        <w:t> </w:t>
      </w:r>
    </w:p>
    <w:tbl>
      <w:tblPr>
        <w:tblW w:w="7573" w:type="dxa"/>
        <w:jc w:val="left"/>
        <w:tblInd w:w="0" w:type="dxa"/>
        <w:tblLayout w:type="fixed"/>
        <w:tblCellMar>
          <w:top w:w="0" w:type="dxa"/>
          <w:left w:w="0" w:type="dxa"/>
          <w:bottom w:w="0" w:type="dxa"/>
          <w:right w:w="0" w:type="dxa"/>
        </w:tblCellMar>
      </w:tblPr>
      <w:tblGrid>
        <w:gridCol w:w="5420"/>
        <w:gridCol w:w="60"/>
        <w:gridCol w:w="108"/>
        <w:gridCol w:w="1066"/>
        <w:gridCol w:w="60"/>
        <w:gridCol w:w="60"/>
        <w:gridCol w:w="66"/>
        <w:gridCol w:w="658"/>
        <w:gridCol w:w="75"/>
      </w:tblGrid>
      <w:tr>
        <w:trPr/>
        <w:tc>
          <w:tcPr>
            <w:tcW w:w="5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 liabilities and other current liabilities</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Salary and welfare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12,041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Payables under supplier financing arrangement  (Note 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reserve for inventory purchase commitments (Note 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tax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refund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Warranty reserve (Note 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VAT received from customers related to contract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51,986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government grant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 In March 2026, the Company entered into a supplier financing arrangement with a third party entity as financing source to pay to the Company’s vendor in the amount of US$9,999. The monthly interest rate was 0.5% before June 30, 2026 and 1.2% then after. The Company expected to repay such payables in one year and classified it as other current liabilities. As of June 30, 2026, the total outstanding balance including accrued interest was US$10,157.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b: The Company entered into several contracts to purchase foundry service. These contracts represent firm purchase commitments which are evaluated for potential losses. As of December 31, 2025 and June 30, 2026, the Company’s purchase obligation to third-party suppliers for foundry service was US$136,134 and US$105,712,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the Company’s consolidated financial statements, the Company assessed the loss contingency under the foundry service contracts taking into account the estimated selling price of mining equipment. The provision was determined by applying a methodology similar to that used in the lower of cost or net realizable value with respect to inventory, using estimates of the costs to convert raw materials into final products in order to determine net realizable value. For the six months ended June 30, 2025 and 2026, a provision of nil and US$4,870 has been recognized in cost of revenues for the Company’s inventory purchase commitments under foundry service contracts as a result of the decline in the estimated selling price of mining equipment based on the most recent subsequent selling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c: For mining equipment, the Company provides its customers for 360 days warranty, subject to certain conditions, such as normal use. The Company provides for the estimated costs of warranties at the time revenue is recognized. Factors that affect the Company’s warranty obligation include product defect rates and costs of repair or replacement.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Movement of warranty reserve is as follows:</w:t>
      </w:r>
    </w:p>
    <w:p>
      <w:pPr>
        <w:pStyle w:val="TextBody"/>
        <w:bidi w:val="0"/>
        <w:spacing w:before="0" w:after="0"/>
        <w:ind w:left="0" w:right="0" w:hanging="0"/>
        <w:jc w:val="left"/>
        <w:rPr>
          <w:caps w:val="false"/>
          <w:smallCaps w:val="false"/>
        </w:rPr>
      </w:pPr>
      <w:r>
        <w:rPr>
          <w:caps w:val="false"/>
          <w:smallCaps w:val="false"/>
        </w:rPr>
        <w:t> </w:t>
      </w:r>
    </w:p>
    <w:tbl>
      <w:tblPr>
        <w:tblW w:w="6087" w:type="dxa"/>
        <w:jc w:val="left"/>
        <w:tblInd w:w="0" w:type="dxa"/>
        <w:tblLayout w:type="fixed"/>
        <w:tblCellMar>
          <w:top w:w="0" w:type="dxa"/>
          <w:left w:w="0" w:type="dxa"/>
          <w:bottom w:w="0" w:type="dxa"/>
          <w:right w:w="0" w:type="dxa"/>
        </w:tblCellMar>
      </w:tblPr>
      <w:tblGrid>
        <w:gridCol w:w="3815"/>
        <w:gridCol w:w="60"/>
        <w:gridCol w:w="98"/>
        <w:gridCol w:w="797"/>
        <w:gridCol w:w="131"/>
        <w:gridCol w:w="98"/>
        <w:gridCol w:w="98"/>
        <w:gridCol w:w="895"/>
        <w:gridCol w:w="95"/>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31" w:type="dxa"/>
            <w:tcBorders/>
            <w:vAlign w:val="center"/>
          </w:tcPr>
          <w:p>
            <w:pPr>
              <w:pStyle w:val="TableContents"/>
              <w:bidi w:val="0"/>
              <w:spacing w:before="0" w:after="283"/>
              <w:jc w:val="left"/>
              <w:rPr>
                <w:caps w:val="false"/>
                <w:smallCaps w:val="false"/>
              </w:rPr>
            </w:pPr>
            <w:r>
              <w:rPr>
                <w:caps w:val="false"/>
                <w:smallCaps w:val="false"/>
              </w:rPr>
              <w:t> </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Accrual for warranties issued during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1,732</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Warranty claims paid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(839</w:t>
            </w:r>
          </w:p>
        </w:tc>
        <w:tc>
          <w:tcPr>
            <w:tcW w:w="1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Warranty expired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Balance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1,257</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290"/>
        <w:gridCol w:w="144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14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Long-term loans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2024, the Company, through a wholly-owned subsidiary, entered into Master Loan and Pledge Agreements (the “Agreements 1”) with a third party (the “Lender 1”). Pursuant to the Agreements 1, the Lender 1 will provide loans in tranches in USDT (also known as Tether, a stablecoin pegged to the U.S. Dollar) with a term of 18-month and an interest rate of 2.75% per annum. The Agreements 1 also require the Company to transfer 330 Bitcoins to the Lender 1 as collateral, and the loan amount will be 68% of the then-current fair market value (the “Loan-to-Value Ratio”) of the pledged Bitcoins. If the fair market value of Bitcoins fallen to below 70% of the fair market value at the loan receipt date, the Company is required to add Collateral. The repayment of the loan principal may be made in USD, USDT or if mutually agreed upon in writing prior to repayment, any other digital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Agreements 1, in June 2024, the Company pledged 330 Bitcoins as collateral to the Lender 1 with a fair value of US$21,041 at closing and obtained a loan with principal amount of 14,308,156 USDT. The net proceeds received in June 2024, after deducting issuance cost of 178,615 USDT, were 11,252,124 USDT (with a fair value of US$11,248). The issuance costs are reported as a direct deduction from the principal of the associated loan. The remaining net proceeds of 2,769,869 USDT (with a fair value of US$2,767), after deducting issuance cost of 107,548 USDT, were subsequently received in July 2024. For the years ended December 31, 2024 and 2025, the Company was not required to add additional Bitcoins as collateral. In December 2025, the Company repaid the loan principal of US$8,931 and received 200 Bitcoins pledged as collateral. In January 2026, the Company repaid the remaining loan principle and received the remaining 130 Bitcoins pledged as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21, 2024, the Company, through a wholly-owned subsidiary, entered into a Master Loan Agreement (the “Agreement 2”) with another third party (the “Lender 2”). Pursuant to the Agreement 2, the Lender 2 will provide a loan in amount of US$8,041 with a term of 18-months and an interest rate of 6.75% per annum. The Agreement 2 also requires the Company to transfer 200 Bitcoins to the Lender 2 as collateral. If the fair market value of Bitcoin fallen such that the Loan-to-Value Ratio equals or exceeds 80%, the Company is required to add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 2, in June 2024, the Company pledged 200 Bitcoins as collateral to the Lender 2 with a fair value of US$12,370 at closing and obtained a loan in amount of US$8,041. The net proceeds received in June 2024, after deducting issuance costs of US$121, were US$7,920. The issuance costs are reported as a direct deduction from the principal of the associated loan. In December 2025, the Company repay the loan principal of US$8,041 and received 200 Bitcoins pledged as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9, 2024, the Company, through a wholly-owned subsidiary, entered into a Master Loan Agreement (the “Agreement 3”) with another third party (the “Lender 3”). Pursuant to the Agreement 3, the Lender 3 will provide a loan in amount of US$2,058 with a term of 18-months and an interest rate of 5.00% per annum. The Agreement 3 also requires the Company to transfer 70 Bitcoins to the Lender 3 as collateral. If the fair market value of Bitcoins fallen to below 50% of the fair market value at the loan receipt date, the Company is required to add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 3, in August 2024, the Company pledged 70 Bitcoins as collateral to the Lender 3 with a fair value of US$4,117 at closing and obtained a loan in amount of US$2,058. The net proceeds received in August 2024, after deducting issuance costs of US$41, were US$2,017. The issuance costs are reported as a direct deduction from the principal of the associated loan. In February 2026, the Company repay the loan principal of US$2,058 and received 70 Bitcoins pledged as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2025, the Company, through a wholly-owned subsidiary, entered into additional loan agreement pursuant to the Agreement 1 (the “Agreements 1.1”) with the Lender 1 under the Agreement 1. Pursuant to the Agreements 1.1, the Lender 1 will provide loans in tranches in USDT with a term of 18-month and an interest rate of 2.5% per annum. The Agreements 1.1 also require the Company to transfer 300 Bitcoins to the Lender 1 as collateral. If the fair market value of Bitcoins fallen to below 70% of the fair market value at the loan receipt date, the Company is required to add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Agreements 1.1, in January 2025, the Company pledged 300 Bitcoins as collateral to the Lender 1 with a fair value of US$31,099 at closing and obtained a loan with principal amount of 21,165,052 USDT. The net proceeds received in January 2025, after deducting issuance cost of 423,301 USDT, were 20,741,751 USDT (with a fair value of US$20,742). The issuance costs are reported as a direct deduction from the principal of the associated loan. In May 2026, the Company entered into an addendum to Agreement 1.1 with Lender 1 to extend the maturity date to July 2027. During the six months ended June 30, 2026, the Company was required to add 17 additional Bitcoins as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2025, the Company, entered into an additional loan agreement pursuant to the Agreement 1 (the “Agreements 1.2”) through a wholly-owned subsidiary and a Master Loan Agreement (the “Agreement 4”) through another wholly-owned subsidiary with the Lender 1. Pursuant to the Agreement 1.2 and Agreement 4, the Lender 1 will provide loans in tranches in USDT with a term of 18 - month and an interest rate of 2.5% per annum. The Agreement 1.2 and Agreements 4 each require the Company to transfer 200 Bitcoins to the Lender 1 as collateral. If the fair market value of Bitcoins fallen to below 70% of the fair market value at the loan receipt date, the Company is required to add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 1.2 and Agreements 4, in December 2025, the Company pledged 400 Bitcoins as collateral to the Lender 1 with a fair value of US$34,184 at closing and obtained a loan with principal amount of 24,244,102 USDT. The net proceeds received in December 2025, after deducting issuance cost of 484,882 USDT, were 23,759,220 USDT (with a fair value of US$23,752). The issuance costs are reported as a direct deduction from the principal of the associated loan. As of June 30, 2026, the Company was not required to add additional Bitcoins as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20, 2026, the Company, through a wholly-owned subsidiary, entered into a Master Loan Agreement (the “Agreement 5”) with the Lender 2. Pursuant to the Agreement 5, the Lender 2 will provide a loan in amount of US$9,706 with a term of 18-month and an interest rate of 3.0% per annum. The Agreement 5 also require the Company to transfer 200 Bitcoins to the Lender 2 as collateral. If the fair market value of Bitcoins fallen to below 72% of the fair market value at the loan receipt date, the Company is required to add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 5, in March 2026, the Company pledged 200 Bitcoins as collateral to the Lender 2 with a fair value of US$13,983 at closing and obtained a loan in amount of US$9,706. The net proceeds received in March 2026, after deducting issuance costs of US$146, were US$9,560. The issuance costs are reported as a direct deduction from the principal of the associated loan. As of June 30, 2026, the Company was not required to add additional Bitcoins as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2026, the Company, entered into an additional loan agreement pursuant to the Agreement 4 (the “Agreements 4.1”) through a wholly-owned subsidiary with the Lender 1. Pursuant to the Agreement 4.1, the Lender 1 will provide loans in tranches in USDT with a term of 18 - month and an interest rate of 2.25% per annum. The Agreement 4.1 also require the Company to transfer 200 Bitcoins to the Lender 1 as collateral. If the fair market value of Bitcoins fallen to below 70% of the fair market value at the loan receipt date, the Company is required to add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 4.1, in June 2026, the Company pledged 200 Bitcoins as collateral to the Lender 1 with a fair value of US$11,896 and obtained a partial loan disbursement with principal amount of 4,250,000 USDT. The remaining loan principal was received in July 2026. As of June 30, 2026, the Company was not required to add additional Bitcoins as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US$23,888 from Agreements 1.2 and Agreements 4 were classified as current portion of the long-term loans. Interest expense pertaining to the above loans amounted to US$736 and US$1,268 was recorded for the six months ended June 30, 2025 and 2026, respectively.</w:t>
      </w:r>
    </w:p>
    <w:p>
      <w:pPr>
        <w:pStyle w:val="TextBody"/>
        <w:bidi w:val="0"/>
        <w:spacing w:before="0" w:after="0"/>
        <w:ind w:left="0" w:right="0" w:hanging="0"/>
        <w:jc w:val="left"/>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75"/>
        <w:gridCol w:w="275"/>
        <w:gridCol w:w="101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10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Derivatives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periods presented, the Company’s derivatives were all embedded forward contracts to receive or deliver a fixed amount of cryptocurrency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derivatives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balance sheet impact of derivative instruments outstanding as of June 30, 2026 and December 31, 2025 as measured in U.S. dollar equivalents, none of which were designated as hedging instruments at June 30, 2026:</w:t>
      </w:r>
    </w:p>
    <w:p>
      <w:pPr>
        <w:pStyle w:val="TextBody"/>
        <w:bidi w:val="0"/>
        <w:spacing w:before="0" w:after="0"/>
        <w:ind w:left="0" w:right="0" w:hanging="0"/>
        <w:jc w:val="left"/>
        <w:rPr>
          <w:caps w:val="false"/>
          <w:smallCaps w:val="false"/>
        </w:rPr>
      </w:pPr>
      <w:r>
        <w:rPr>
          <w:caps w:val="false"/>
          <w:smallCaps w:val="false"/>
        </w:rPr>
        <w:t> </w:t>
      </w:r>
    </w:p>
    <w:tbl>
      <w:tblPr>
        <w:tblW w:w="7179" w:type="dxa"/>
        <w:jc w:val="left"/>
        <w:tblInd w:w="0" w:type="dxa"/>
        <w:tblLayout w:type="fixed"/>
        <w:tblCellMar>
          <w:top w:w="0" w:type="dxa"/>
          <w:left w:w="0" w:type="dxa"/>
          <w:bottom w:w="28" w:type="dxa"/>
          <w:right w:w="0" w:type="dxa"/>
        </w:tblCellMar>
      </w:tblPr>
      <w:tblGrid>
        <w:gridCol w:w="4040"/>
        <w:gridCol w:w="60"/>
        <w:gridCol w:w="69"/>
        <w:gridCol w:w="686"/>
        <w:gridCol w:w="60"/>
        <w:gridCol w:w="60"/>
        <w:gridCol w:w="112"/>
        <w:gridCol w:w="1227"/>
        <w:gridCol w:w="80"/>
        <w:gridCol w:w="60"/>
        <w:gridCol w:w="60"/>
        <w:gridCol w:w="590"/>
        <w:gridCol w:w="75"/>
      </w:tblGrid>
      <w:tr>
        <w:trPr/>
        <w:tc>
          <w:tcPr>
            <w:tcW w:w="404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 Location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Notional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Derivative Fair</w:t>
              <w:br/>
              <w:t>Value</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shd w:fill="CCEE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68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227"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04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Prepayments and other current assets </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receivable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98,787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(27,862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70,925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payable </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Long-term loans </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48,738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48,687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shd w:fill="FFFF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68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227"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04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Prepayments and other current assets </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receivable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83,743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87,832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payable </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Accrued liabilities and other current liabilities </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6,893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Long-term loans </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49,760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49,711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75"/>
        <w:gridCol w:w="245"/>
        <w:gridCol w:w="86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the portion of the Consolidated Balance Sheet line item that is denominated in cryptocurrency.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derivatives on the Consolidated Statements of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and losses on derivative instruments recorded in the Consolidated Statements of Comprehensive Loss were as follows:</w:t>
      </w:r>
    </w:p>
    <w:p>
      <w:pPr>
        <w:pStyle w:val="TextBody"/>
        <w:bidi w:val="0"/>
        <w:spacing w:before="0" w:after="0"/>
        <w:ind w:left="0" w:right="0" w:hanging="0"/>
        <w:jc w:val="left"/>
        <w:rPr>
          <w:caps w:val="false"/>
          <w:smallCaps w:val="false"/>
        </w:rPr>
      </w:pPr>
      <w:r>
        <w:rPr>
          <w:caps w:val="false"/>
          <w:smallCaps w:val="false"/>
        </w:rPr>
        <w:t> </w:t>
      </w:r>
    </w:p>
    <w:tbl>
      <w:tblPr>
        <w:tblW w:w="6056" w:type="dxa"/>
        <w:jc w:val="left"/>
        <w:tblInd w:w="0" w:type="dxa"/>
        <w:tblLayout w:type="fixed"/>
        <w:tblCellMar>
          <w:top w:w="0" w:type="dxa"/>
          <w:left w:w="0" w:type="dxa"/>
          <w:bottom w:w="0" w:type="dxa"/>
          <w:right w:w="0" w:type="dxa"/>
        </w:tblCellMar>
      </w:tblPr>
      <w:tblGrid>
        <w:gridCol w:w="3785"/>
        <w:gridCol w:w="60"/>
        <w:gridCol w:w="84"/>
        <w:gridCol w:w="833"/>
        <w:gridCol w:w="113"/>
        <w:gridCol w:w="84"/>
        <w:gridCol w:w="84"/>
        <w:gridCol w:w="918"/>
        <w:gridCol w:w="95"/>
      </w:tblGrid>
      <w:tr>
        <w:trPr/>
        <w:tc>
          <w:tcPr>
            <w:tcW w:w="37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3" w:type="dxa"/>
            <w:tcBorders/>
            <w:vAlign w:val="center"/>
          </w:tcPr>
          <w:p>
            <w:pPr>
              <w:pStyle w:val="TableContents"/>
              <w:bidi w:val="0"/>
              <w:spacing w:before="0" w:after="283"/>
              <w:jc w:val="left"/>
              <w:rPr>
                <w:caps w:val="false"/>
                <w:smallCaps w:val="false"/>
              </w:rPr>
            </w:pPr>
            <w:r>
              <w:rPr>
                <w:caps w:val="false"/>
                <w:smallCaps w:val="false"/>
              </w:rPr>
              <w:t> </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10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10,264</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(27,102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w:t>
            </w:r>
          </w:p>
        </w:tc>
        <w:tc>
          <w:tcPr>
            <w:tcW w:w="1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w:t>
            </w:r>
          </w:p>
        </w:tc>
        <w:tc>
          <w:tcPr>
            <w:tcW w:w="1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1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9,385</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(24,882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290"/>
        <w:gridCol w:w="143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14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authorized ordinary shares are 999,999,675,000, of which 11,549,547,317 shares were issued and 10,869,114,662 shares were outstanding. These outstanding shares consist of (1) 10,557,490,218 Class A ordinary shares and (2) 311,624,444 Class B ordinary shares, which were held by the Chairman and CEO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At-the-Market Offering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23, 2024, the Company entered into an At-the-market offering agreement (the “2024 ATM Agreement”) with Macquarie Capital Limited, Keefe, Bruyette &amp; Woods, Inc., China Renaissance Securities (Hong Kong) Limited, Compass Point Research &amp; Trading, LLC, Craig-Hallum Capital Group LLC, Northland Securities, Inc., Rosenblatt Securities Inc., The Benchmark Company, LLC, and B. Riley Securities Inc. (“B. Riley”) as sales agents (the “sales agents”). The Company issued 50,000,000 ADSs (750,000,000 Class A Ordinary Shares) to its share depositary bank as a reserve in relation to the 2024 ATM Agreement. No consideration was received by the Company for this issuance of ordinary shares. These ordinary shares are legally issued but are treated as escrowed shares for accounting purpose, and therefore, have been excluded from the computation of net earnings (loss) per ordinary share for accounting purposes. For the year ended December 31, 2024, no ADS was utilized under the 2024 ATM Agreement. During the six months ended June 30, 2025, the Company issued 21,088,579 ADSs (316,328,685 Class A Ordinary shares) with net proceeds of US$42,222. The Company terminated the 2024 ATM Agreement in October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entered into an At-the-market offering agreement (the “2025 ATM Agreement”) with Macquarie Capital Limited, Keefe, Bruyette &amp; Woods, Inc., China Renaissance Securities (Hong Kong) Limited, Compass Point Research &amp; Trading, LLC, Northland Securities, Inc., Rosenblatt Securities Inc., The Benchmark Company, LLC, B. Riley Securities Inc. (“B. Riley”) and CLSA Limited as sales agents (the “sales agents”), pursuant to which the Company may issue up to US$270,000 of the ADSs. The remaining ADSs as the reserve in relation to the 2024 ATM Agreement could be used as a reserve in relation to the 2025 ATM Agreement. During the six months ended June 30, 2026, the Company issued 1,529,562 ADSs (22,943,430 Class A Ordinary shares) with net proceeds of US$735.</w:t>
      </w:r>
    </w:p>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290"/>
        <w:gridCol w:w="182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15.</w:t>
            </w:r>
          </w:p>
        </w:tc>
        <w:tc>
          <w:tcPr>
            <w:tcW w:w="18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Repurchase of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2025, the Board of Directors approved a share repurchase program to repurchase in the open market up to US$30 million worth of its outstanding (i) American depositary shares, each representing 15 Class A ordinary shares, and/or (ii) Class A ordinary shares over the next six months starting from May 27, 2025 depending on a number of factors, including, but not limited to, price, trading volume and general market conditions, along with the Company’s working capital requirements and general business conditions, the relevant rules under United States securities laws and regulations, and the relevant stock exchange rules. On December 17, 2025, the Board of Directors approved the renewal of the share repurchase program over a 12 months period beginning December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2,815,144 outstanding ADSs (representing 42,227,160 Class A ordinary shares) were repurchased. For the six months ended June 30, 2025 and 2026, 69,382,845 and 66,889,005 restricted share units were transferred from treasury stock to ordinary shares upon vesting,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290"/>
        <w:gridCol w:w="228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16.</w:t>
            </w:r>
          </w:p>
        </w:tc>
        <w:tc>
          <w:tcPr>
            <w:tcW w:w="22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Share-based compensation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restricted share units (“RSUs”) activity during the six months ended June 30, 2026:</w:t>
      </w:r>
    </w:p>
    <w:p>
      <w:pPr>
        <w:pStyle w:val="TextBody"/>
        <w:bidi w:val="0"/>
        <w:spacing w:before="0" w:after="0"/>
        <w:ind w:left="0" w:right="0" w:hanging="0"/>
        <w:jc w:val="left"/>
        <w:rPr>
          <w:caps w:val="false"/>
          <w:smallCaps w:val="false"/>
        </w:rPr>
      </w:pPr>
      <w:r>
        <w:rPr>
          <w:caps w:val="false"/>
          <w:smallCaps w:val="false"/>
        </w:rPr>
        <w:t> </w:t>
      </w:r>
    </w:p>
    <w:tbl>
      <w:tblPr>
        <w:tblW w:w="5824" w:type="dxa"/>
        <w:jc w:val="left"/>
        <w:tblInd w:w="0" w:type="dxa"/>
        <w:tblLayout w:type="fixed"/>
        <w:tblCellMar>
          <w:top w:w="0" w:type="dxa"/>
          <w:left w:w="0" w:type="dxa"/>
          <w:bottom w:w="0" w:type="dxa"/>
          <w:right w:w="0" w:type="dxa"/>
        </w:tblCellMar>
      </w:tblPr>
      <w:tblGrid>
        <w:gridCol w:w="2795"/>
        <w:gridCol w:w="60"/>
        <w:gridCol w:w="60"/>
        <w:gridCol w:w="1055"/>
        <w:gridCol w:w="80"/>
        <w:gridCol w:w="60"/>
        <w:gridCol w:w="223"/>
        <w:gridCol w:w="1416"/>
        <w:gridCol w:w="75"/>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b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w:t>
              <w:br/>
              <w:t>grant date fair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January 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551,294,295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180,460,950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(49,222,909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(66,889,005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615,643,331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1, 2026 and June 30, 2026, the Company’s outstanding, and vested and expected to vest share option is 60,000,000. There was no change on the share options during the six months ended June 30, 2026. The exercisable share option is 60,000,000 as of June 30, 2026.</w:t>
      </w:r>
    </w:p>
    <w:p>
      <w:pPr>
        <w:pStyle w:val="TextBody"/>
        <w:bidi w:val="0"/>
        <w:spacing w:before="0" w:after="0"/>
        <w:ind w:left="0" w:right="0" w:hanging="0"/>
        <w:jc w:val="left"/>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290"/>
        <w:gridCol w:w="122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17.</w:t>
            </w:r>
          </w:p>
        </w:tc>
        <w:tc>
          <w:tcPr>
            <w:tcW w:w="12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an income tax expense of US$1,478 and US$1,453 for the six months ended June 30, 2025 and 2026, respectively, representing effective tax rates of 1.5% and 0.8%,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income tax rate of 0.8% in 2026 and 1.5% in 2025 were lower than the statutory income tax rate of 25.0% which was primarily due to additional valuation allowances provided.</w:t>
      </w:r>
    </w:p>
    <w:p>
      <w:pPr>
        <w:pStyle w:val="TextBody"/>
        <w:bidi w:val="0"/>
        <w:spacing w:before="0" w:after="0"/>
        <w:ind w:left="0" w:right="0" w:hanging="0"/>
        <w:jc w:val="left"/>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290"/>
        <w:gridCol w:w="269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18.</w:t>
            </w:r>
          </w:p>
        </w:tc>
        <w:tc>
          <w:tcPr>
            <w:tcW w:w="26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Basic and diluted loss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loss per share have been calculated in accordance with ASC 260 on computation of loss per share for the six months ended June 30, 2025 and 2026, as follows:</w:t>
      </w:r>
    </w:p>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5960"/>
        <w:gridCol w:w="60"/>
        <w:gridCol w:w="60"/>
        <w:gridCol w:w="1205"/>
        <w:gridCol w:w="80"/>
        <w:gridCol w:w="60"/>
        <w:gridCol w:w="60"/>
        <w:gridCol w:w="1310"/>
        <w:gridCol w:w="95"/>
      </w:tblGrid>
      <w:tr>
        <w:trPr/>
        <w:tc>
          <w:tcPr>
            <w:tcW w:w="5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loss per share calculation</w:t>
            </w:r>
          </w:p>
        </w:tc>
        <w:tc>
          <w:tcPr>
            <w:tcW w:w="60" w:type="dxa"/>
            <w:tcBorders/>
            <w:shd w:fill="CCEEFF" w:val="clear"/>
            <w:vAlign w:val="center"/>
          </w:tcPr>
          <w:p>
            <w:pPr>
              <w:pStyle w:val="TableContents"/>
              <w:bidi w:val="0"/>
              <w:spacing w:before="0" w:after="283"/>
              <w:jc w:val="left"/>
              <w:rPr/>
            </w:pPr>
            <w:r>
              <w:rPr/>
              <w:t> </w:t>
            </w:r>
          </w:p>
        </w:tc>
        <w:tc>
          <w:tcPr>
            <w:tcW w:w="1265"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0"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Numerator:</w:t>
            </w:r>
          </w:p>
        </w:tc>
        <w:tc>
          <w:tcPr>
            <w:tcW w:w="60" w:type="dxa"/>
            <w:tcBorders/>
            <w:shd w:fill="FFFFFF" w:val="clear"/>
            <w:vAlign w:val="center"/>
          </w:tcPr>
          <w:p>
            <w:pPr>
              <w:pStyle w:val="TableContents"/>
              <w:bidi w:val="0"/>
              <w:spacing w:before="0" w:after="283"/>
              <w:jc w:val="left"/>
              <w:rPr/>
            </w:pPr>
            <w:r>
              <w:rPr/>
              <w:t> </w:t>
            </w:r>
          </w:p>
        </w:tc>
        <w:tc>
          <w:tcPr>
            <w:tcW w:w="1265"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gridSpan w:val="2"/>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(97,489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(186,355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Weighted-average number of ordinary shares outstanding used in </w:t>
              <w:br/>
              <w:t xml:space="preserve">calculating basic and diluted loss per Class A and Class B </w:t>
              <w:br/>
              <w:t>ordinary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5,385,963,052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10,198,604,961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loss per Class A and Class B ordinary share (US$ cent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potentially dilutive securities that have not been included in the calculation of diluted net loss per share as their inclusion would be anti- dilutive as of June 30, 2025 and 2026 are as follows:</w:t>
      </w:r>
    </w:p>
    <w:p>
      <w:pPr>
        <w:pStyle w:val="TextBody"/>
        <w:bidi w:val="0"/>
        <w:spacing w:before="0" w:after="0"/>
        <w:ind w:left="0" w:right="0" w:hanging="0"/>
        <w:jc w:val="left"/>
        <w:rPr>
          <w:caps w:val="false"/>
          <w:smallCaps w:val="false"/>
        </w:rPr>
      </w:pPr>
      <w:r>
        <w:rPr>
          <w:caps w:val="false"/>
          <w:smallCaps w:val="false"/>
        </w:rPr>
        <w:t> </w:t>
      </w:r>
    </w:p>
    <w:tbl>
      <w:tblPr>
        <w:tblW w:w="4950" w:type="dxa"/>
        <w:jc w:val="center"/>
        <w:tblInd w:w="0" w:type="dxa"/>
        <w:tblLayout w:type="fixed"/>
        <w:tblCellMar>
          <w:top w:w="0" w:type="dxa"/>
          <w:left w:w="0" w:type="dxa"/>
          <w:bottom w:w="0" w:type="dxa"/>
          <w:right w:w="0" w:type="dxa"/>
        </w:tblCellMar>
      </w:tblPr>
      <w:tblGrid>
        <w:gridCol w:w="2315"/>
        <w:gridCol w:w="60"/>
        <w:gridCol w:w="60"/>
        <w:gridCol w:w="1205"/>
        <w:gridCol w:w="60"/>
        <w:gridCol w:w="60"/>
        <w:gridCol w:w="60"/>
        <w:gridCol w:w="1055"/>
        <w:gridCol w:w="75"/>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720,336,900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615,643,331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preferred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2,325,019,875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290"/>
        <w:gridCol w:w="122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19.</w:t>
            </w:r>
          </w:p>
        </w:tc>
        <w:tc>
          <w:tcPr>
            <w:tcW w:w="12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Contingencies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and, from time to time, may in the future become, involved in other legal proceedings in the ordinary course of business. The Company currently believes that the outcome of any of these existing legal proceedings, either individually or in the aggregate, will not have a material impact on the operating results, financial condition or cash flows of the Company. The Company may incur substantial legal fees, which are expensed as incurred, in defending against these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290"/>
        <w:gridCol w:w="273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w:t>
            </w:r>
          </w:p>
        </w:tc>
        <w:tc>
          <w:tcPr>
            <w:tcW w:w="27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Changes in shareholders’ equity</w:t>
            </w:r>
          </w:p>
        </w:tc>
      </w:tr>
    </w:tbl>
    <w:p>
      <w:pPr>
        <w:pStyle w:val="TextBody"/>
        <w:bidi w:val="0"/>
        <w:spacing w:before="0" w:after="0"/>
        <w:ind w:left="0" w:right="0" w:hanging="0"/>
        <w:jc w:val="left"/>
        <w:rPr>
          <w:caps w:val="false"/>
          <w:smallCaps w:val="false"/>
        </w:rPr>
      </w:pPr>
      <w:r>
        <w:rPr>
          <w:caps w:val="false"/>
          <w:smallCaps w:val="false"/>
        </w:rPr>
        <w:t> </w:t>
      </w:r>
    </w:p>
    <w:tbl>
      <w:tblPr>
        <w:tblW w:w="11080" w:type="dxa"/>
        <w:jc w:val="left"/>
        <w:tblInd w:w="0" w:type="dxa"/>
        <w:tblLayout w:type="fixed"/>
        <w:tblCellMar>
          <w:top w:w="0" w:type="dxa"/>
          <w:left w:w="0" w:type="dxa"/>
          <w:bottom w:w="0" w:type="dxa"/>
          <w:right w:w="0" w:type="dxa"/>
        </w:tblCellMar>
      </w:tblPr>
      <w:tblGrid>
        <w:gridCol w:w="845"/>
        <w:gridCol w:w="60"/>
        <w:gridCol w:w="290"/>
        <w:gridCol w:w="60"/>
        <w:gridCol w:w="860"/>
        <w:gridCol w:w="65"/>
        <w:gridCol w:w="60"/>
        <w:gridCol w:w="485"/>
        <w:gridCol w:w="60"/>
        <w:gridCol w:w="60"/>
        <w:gridCol w:w="755"/>
        <w:gridCol w:w="60"/>
        <w:gridCol w:w="60"/>
        <w:gridCol w:w="485"/>
        <w:gridCol w:w="60"/>
        <w:gridCol w:w="60"/>
        <w:gridCol w:w="785"/>
        <w:gridCol w:w="60"/>
        <w:gridCol w:w="60"/>
        <w:gridCol w:w="755"/>
        <w:gridCol w:w="65"/>
        <w:gridCol w:w="60"/>
        <w:gridCol w:w="485"/>
        <w:gridCol w:w="65"/>
        <w:gridCol w:w="60"/>
        <w:gridCol w:w="665"/>
        <w:gridCol w:w="65"/>
        <w:gridCol w:w="60"/>
        <w:gridCol w:w="590"/>
        <w:gridCol w:w="60"/>
        <w:gridCol w:w="60"/>
        <w:gridCol w:w="905"/>
        <w:gridCol w:w="65"/>
        <w:gridCol w:w="60"/>
        <w:gridCol w:w="785"/>
        <w:gridCol w:w="65"/>
        <w:gridCol w:w="60"/>
        <w:gridCol w:w="845"/>
        <w:gridCol w:w="75"/>
      </w:tblGrid>
      <w:tr>
        <w:trPr/>
        <w:tc>
          <w:tcPr>
            <w:tcW w:w="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0"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4"/>
              </w:rPr>
            </w:pPr>
            <w:r>
              <w:rPr>
                <w:rFonts w:ascii="Times New Roman;Times;Serif" w:hAnsi="Times New Roman;Times;Serif"/>
                <w:b/>
                <w:sz w:val="14"/>
              </w:rPr>
              <w:t>Clsss A 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4"/>
              </w:rPr>
            </w:pPr>
            <w:r>
              <w:rPr>
                <w:rFonts w:ascii="Times New Roman;Times;Serif" w:hAnsi="Times New Roman;Times;Serif"/>
                <w:b/>
                <w:sz w:val="14"/>
              </w:rPr>
              <w:t>Clsss B 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5"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4"/>
              </w:rPr>
            </w:pPr>
            <w:r>
              <w:rPr>
                <w:rFonts w:ascii="Times New Roman;Times;Serif" w:hAnsi="Times New Roman;Times;Serif"/>
                <w:b/>
                <w:sz w:val="14"/>
              </w:rPr>
              <w:t>Treasury stocks</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b/>
                <w:sz w:val="14"/>
              </w:rPr>
            </w:pPr>
            <w:r>
              <w:rPr>
                <w:rFonts w:ascii="Times New Roman;Times;Serif" w:hAnsi="Times New Roman;Times;Serif"/>
                <w:b/>
                <w:sz w:val="14"/>
              </w:rPr>
              <w:t>Accumulated</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right"/>
              <w:rPr/>
            </w:pPr>
            <w:r>
              <w:rPr/>
              <w:t> </w:t>
            </w:r>
          </w:p>
        </w:tc>
      </w:tr>
      <w:tr>
        <w:trPr/>
        <w:tc>
          <w:tcPr>
            <w:tcW w:w="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4"/>
              </w:rPr>
            </w:pPr>
            <w:r>
              <w:rPr>
                <w:rFonts w:ascii="Times New Roman;Times;Serif" w:hAnsi="Times New Roman;Times;Serif"/>
                <w:b/>
                <w:sz w:val="14"/>
              </w:rPr>
              <w:t>Note</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4"/>
              </w:rPr>
            </w:pPr>
            <w:r>
              <w:rPr>
                <w:rFonts w:ascii="Times New Roman;Times;Serif" w:hAnsi="Times New Roman;Times;Serif"/>
                <w:b/>
                <w:sz w:val="14"/>
              </w:rPr>
              <w:t>Number of</w:t>
              <w:br/>
              <w:t>Shares</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4"/>
              </w:rPr>
            </w:pPr>
            <w:r>
              <w:rPr>
                <w:rFonts w:ascii="Times New Roman;Times;Serif" w:hAnsi="Times New Roman;Times;Serif"/>
                <w:b/>
                <w:sz w:val="14"/>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4"/>
              </w:rPr>
            </w:pPr>
            <w:r>
              <w:rPr>
                <w:rFonts w:ascii="Times New Roman;Times;Serif" w:hAnsi="Times New Roman;Times;Serif"/>
                <w:b/>
                <w:sz w:val="14"/>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4"/>
              </w:rPr>
            </w:pPr>
            <w:r>
              <w:rPr>
                <w:rFonts w:ascii="Times New Roman;Times;Serif" w:hAnsi="Times New Roman;Times;Serif"/>
                <w:b/>
                <w:sz w:val="14"/>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14"/>
              </w:rPr>
              <w:t>Subscription</w:t>
            </w:r>
            <w:r>
              <w:rPr/>
              <w:br/>
            </w:r>
            <w:r>
              <w:rPr>
                <w:rFonts w:ascii="Times New Roman;Times;Serif" w:hAnsi="Times New Roman;Times;Serif"/>
                <w:b/>
                <w:sz w:val="14"/>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4"/>
              </w:rPr>
            </w:pPr>
            <w:r>
              <w:rPr>
                <w:rFonts w:ascii="Times New Roman;Times;Serif" w:hAnsi="Times New Roman;Times;Serif"/>
                <w:b/>
                <w:sz w:val="14"/>
              </w:rPr>
              <w:t>Number of</w:t>
              <w:br/>
              <w:t>Shares</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4"/>
              </w:rPr>
            </w:pPr>
            <w:r>
              <w:rPr>
                <w:rFonts w:ascii="Times New Roman;Times;Serif" w:hAnsi="Times New Roman;Times;Serif"/>
                <w:b/>
                <w:sz w:val="14"/>
              </w:rPr>
              <w:t>Amount</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4"/>
              </w:rPr>
            </w:pPr>
            <w:r>
              <w:rPr>
                <w:rFonts w:ascii="Times New Roman;Times;Serif" w:hAnsi="Times New Roman;Times;Serif"/>
                <w:b/>
                <w:sz w:val="14"/>
              </w:rPr>
              <w:t>Additional</w:t>
              <w:br/>
              <w:t>paid-in</w:t>
              <w:br/>
              <w:t>capital</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4"/>
              </w:rPr>
            </w:pPr>
            <w:r>
              <w:rPr>
                <w:rFonts w:ascii="Times New Roman;Times;Serif" w:hAnsi="Times New Roman;Times;Serif"/>
                <w:b/>
                <w:sz w:val="14"/>
              </w:rPr>
              <w:t>Statutory</w:t>
              <w:br/>
              <w:t>reserves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4"/>
              </w:rPr>
            </w:pPr>
            <w:r>
              <w:rPr>
                <w:rFonts w:ascii="Times New Roman;Times;Serif" w:hAnsi="Times New Roman;Times;Serif"/>
                <w:b/>
                <w:sz w:val="14"/>
              </w:rPr>
              <w:t>other</w:t>
              <w:br/>
              <w:t>comprehensive</w:t>
              <w:br/>
              <w:t>loss</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4"/>
              </w:rPr>
            </w:pPr>
            <w:r>
              <w:rPr>
                <w:rFonts w:ascii="Times New Roman;Times;Serif" w:hAnsi="Times New Roman;Times;Serif"/>
                <w:b/>
                <w:sz w:val="14"/>
              </w:rPr>
              <w:t>Accumulated</w:t>
              <w:br/>
              <w:t>deficit</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4"/>
              </w:rPr>
            </w:pPr>
            <w:r>
              <w:rPr>
                <w:rFonts w:ascii="Times New Roman;Times;Serif" w:hAnsi="Times New Roman;Times;Serif"/>
                <w:b/>
                <w:sz w:val="14"/>
              </w:rPr>
              <w:t>Total</w:t>
              <w:br/>
              <w:t>shareholders’</w:t>
              <w:br/>
              <w:t>equity</w:t>
            </w:r>
          </w:p>
        </w:tc>
        <w:tc>
          <w:tcPr>
            <w:tcW w:w="75" w:type="dxa"/>
            <w:tcBorders/>
            <w:vAlign w:val="center"/>
          </w:tcPr>
          <w:p>
            <w:pPr>
              <w:pStyle w:val="TableContents"/>
              <w:bidi w:val="0"/>
              <w:spacing w:before="0" w:after="283"/>
              <w:ind w:left="0" w:right="0" w:hanging="180"/>
              <w:jc w:val="left"/>
              <w:rPr/>
            </w:pPr>
            <w:r>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Balance as of January 1, 2025</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5,052,538,578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311,624,444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229,281,465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(57,055</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816,363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14,892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(57,456</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(450,490</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266,254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Share Repurchase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(46,856,670</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46,856,670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(2,135</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(2,135)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13,387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13,387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Repurchase of vested employee restricted share units for tax withholding</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(14,859,360</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14,859,360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(1,030</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(1,030)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Resale of vested employee restricted share units for tax withholding</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14,859,360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(14,859,360</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1,030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1,030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Issuance of ordinary shares in at-the market offering, net of offering cost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14</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42,101</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42,101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Issuance of ordinary shares pursuant to preferred shares financing, net of offering cost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1,977,030,615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100,222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100,222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Issuance of ordinary shares pursuant to share lending arrangement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105,000,000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944</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944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Vesting of restricted share units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69,382,845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(69,382,845</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16,544</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(16,544</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Foreign currency translation</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319</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319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Net loss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(97,489</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(97,489)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Balance as of June 30, 2025</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7,157,095,368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311,624,444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206,755,290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(42,646</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956,473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14,892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(57,137</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(547,979</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323,603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11170" w:type="dxa"/>
        <w:jc w:val="left"/>
        <w:tblInd w:w="0" w:type="dxa"/>
        <w:tblLayout w:type="fixed"/>
        <w:tblCellMar>
          <w:top w:w="0" w:type="dxa"/>
          <w:left w:w="0" w:type="dxa"/>
          <w:bottom w:w="0" w:type="dxa"/>
          <w:right w:w="0" w:type="dxa"/>
        </w:tblCellMar>
      </w:tblPr>
      <w:tblGrid>
        <w:gridCol w:w="845"/>
        <w:gridCol w:w="60"/>
        <w:gridCol w:w="290"/>
        <w:gridCol w:w="60"/>
        <w:gridCol w:w="935"/>
        <w:gridCol w:w="65"/>
        <w:gridCol w:w="60"/>
        <w:gridCol w:w="485"/>
        <w:gridCol w:w="60"/>
        <w:gridCol w:w="60"/>
        <w:gridCol w:w="755"/>
        <w:gridCol w:w="60"/>
        <w:gridCol w:w="60"/>
        <w:gridCol w:w="485"/>
        <w:gridCol w:w="60"/>
        <w:gridCol w:w="60"/>
        <w:gridCol w:w="800"/>
        <w:gridCol w:w="60"/>
        <w:gridCol w:w="60"/>
        <w:gridCol w:w="755"/>
        <w:gridCol w:w="65"/>
        <w:gridCol w:w="60"/>
        <w:gridCol w:w="485"/>
        <w:gridCol w:w="65"/>
        <w:gridCol w:w="60"/>
        <w:gridCol w:w="665"/>
        <w:gridCol w:w="65"/>
        <w:gridCol w:w="60"/>
        <w:gridCol w:w="590"/>
        <w:gridCol w:w="60"/>
        <w:gridCol w:w="60"/>
        <w:gridCol w:w="905"/>
        <w:gridCol w:w="65"/>
        <w:gridCol w:w="60"/>
        <w:gridCol w:w="785"/>
        <w:gridCol w:w="65"/>
        <w:gridCol w:w="60"/>
        <w:gridCol w:w="845"/>
        <w:gridCol w:w="75"/>
      </w:tblGrid>
      <w:tr>
        <w:trPr/>
        <w:tc>
          <w:tcPr>
            <w:tcW w:w="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5"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Class A Ordinary</w:t>
              <w:b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0"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Class B Ordinary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Subscription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5"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Treasury stocks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Accumulated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Note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Number of</w:t>
              <w:br/>
              <w:t>Shares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Number of</w:t>
              <w:b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receivables</w:t>
              <w:br/>
              <w:t>from</w:t>
              <w:br/>
              <w:t>shareholders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Number of</w:t>
              <w:br/>
              <w:t>Shares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Additional</w:t>
              <w:br/>
              <w:t>paid-in</w:t>
              <w:br/>
              <w:t>capital</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Statutory</w:t>
              <w:br/>
              <w:t>reserves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other</w:t>
              <w:br/>
              <w:t>comprehensive</w:t>
              <w:br/>
              <w:t>loss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Accumulated deficits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Total</w:t>
              <w:br/>
              <w:t>shareholders’</w:t>
              <w:br/>
              <w:t>equity</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Balance as of January 1, 2026</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10,064,501,358</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311,624,444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366,981,615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(37,172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1,177,057</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14,892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(56,653</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(660,757</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437,368</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Share Repurchase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(42,227,160</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42,227,160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(2,022</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(2,022</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9,158</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9,158</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Repurchase of vested employee restricted share units for tax withholding</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(7,493,670</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7,493,670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(217</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(217</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Resale of vested employee restricted share units for tax withholding</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7,493,670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(7,493,670</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217</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217</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Issuance of ordinary shares in at-the-market offering, net of offering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735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735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Shares issued as consideration for the equity investment in ABC projects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806,439,900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24,801</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24,801</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Vesting of restricted share units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66,889,005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(66,889,005</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18,939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(18,939</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Foreign currency translation</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9,021</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9,021</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loss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(186,355</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(186,355</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Balance as of June 30, 2026</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10,895,603,103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311,624,444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342,319,770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(20,255</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1,192,812</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14,892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(47,632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(847,112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292,706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75"/>
        <w:gridCol w:w="275"/>
        <w:gridCol w:w="155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w:t>
            </w:r>
          </w:p>
        </w:tc>
        <w:tc>
          <w:tcPr>
            <w:tcW w:w="1550" w:type="dxa"/>
            <w:tcBorders/>
            <w:vAlign w:val="center"/>
          </w:tcPr>
          <w:p>
            <w:pPr>
              <w:pStyle w:val="TableContents"/>
              <w:bidi w:val="0"/>
              <w:spacing w:before="0" w:after="283"/>
              <w:jc w:val="both"/>
              <w:rPr>
                <w:b/>
                <w:sz w:val="20"/>
              </w:rPr>
            </w:pPr>
            <w:r>
              <w:rPr>
                <w:b/>
                <w:sz w:val="20"/>
              </w:rPr>
              <w:t>Subsequent events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the Company repurchased additional 13,585,855 ADSs for US$5,462 using proceeds generated from sale of cryptocurrency in August.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7956</Words>
  <Characters>43083</Characters>
  <CharactersWithSpaces>52729</CharactersWithSpaces>
  <Paragraphs>4735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